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1C58D5" w:rsidRPr="001C58D5" w:rsidTr="001C58D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900" w:type="pct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7974"/>
            </w:tblGrid>
            <w:tr w:rsidR="001C58D5" w:rsidRPr="001C58D5" w:rsidTr="001C58D5">
              <w:trPr>
                <w:jc w:val="right"/>
              </w:trPr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C58D5" w:rsidRPr="001C58D5" w:rsidRDefault="001C58D5" w:rsidP="001C58D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9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C58D5" w:rsidRPr="001C58D5" w:rsidRDefault="001C58D5" w:rsidP="001C58D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C58D5" w:rsidRPr="001C58D5" w:rsidTr="001C58D5">
              <w:trPr>
                <w:jc w:val="right"/>
              </w:trPr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C58D5" w:rsidRPr="001C58D5" w:rsidRDefault="001C58D5" w:rsidP="001C58D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9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885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73"/>
                    <w:gridCol w:w="1833"/>
                  </w:tblGrid>
                  <w:tr w:rsidR="001C58D5" w:rsidRPr="001C58D5" w:rsidTr="001C58D5">
                    <w:trPr>
                      <w:jc w:val="center"/>
                    </w:trPr>
                    <w:tc>
                      <w:tcPr>
                        <w:tcW w:w="195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4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C58D5" w:rsidRPr="001C58D5" w:rsidRDefault="001C58D5" w:rsidP="001C58D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4500" w:type="pct"/>
                    <w:jc w:val="center"/>
                    <w:tblBorders>
                      <w:top w:val="outset" w:sz="6" w:space="0" w:color="E2E5E7"/>
                      <w:left w:val="outset" w:sz="6" w:space="0" w:color="E2E5E7"/>
                      <w:bottom w:val="outset" w:sz="6" w:space="0" w:color="E2E5E7"/>
                      <w:right w:val="outset" w:sz="6" w:space="0" w:color="E2E5E7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62"/>
                  </w:tblGrid>
                  <w:tr w:rsidR="001C58D5" w:rsidRPr="001C58D5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E2E5E7"/>
                          <w:left w:val="outset" w:sz="6" w:space="0" w:color="E2E5E7"/>
                          <w:bottom w:val="outset" w:sz="6" w:space="0" w:color="E2E5E7"/>
                          <w:right w:val="outset" w:sz="6" w:space="0" w:color="E2E5E7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72"/>
                          <w:gridCol w:w="286"/>
                          <w:gridCol w:w="715"/>
                          <w:gridCol w:w="143"/>
                          <w:gridCol w:w="2859"/>
                          <w:gridCol w:w="1572"/>
                        </w:tblGrid>
                        <w:tr w:rsidR="001C58D5" w:rsidRPr="001C58D5">
                          <w:trPr>
                            <w:trHeight w:val="270"/>
                          </w:trPr>
                          <w:tc>
                            <w:tcPr>
                              <w:tcW w:w="5000" w:type="pct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2E5E7"/>
                              <w:vAlign w:val="center"/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 xml:space="preserve">    </w:t>
                              </w:r>
                              <w:r w:rsidRPr="001C58D5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معلومات القانون</w:t>
                              </w:r>
                              <w:r w:rsidRPr="001C58D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1C58D5" w:rsidRPr="001C58D5">
                          <w:trPr>
                            <w:trHeight w:val="270"/>
                          </w:trPr>
                          <w:tc>
                            <w:tcPr>
                              <w:tcW w:w="13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حقوقي</w:t>
                              </w:r>
                            </w:p>
                          </w:tc>
                          <w:tc>
                            <w:tcPr>
                              <w:tcW w:w="6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تصنيفه :</w:t>
                              </w:r>
                            </w:p>
                          </w:tc>
                          <w:tc>
                            <w:tcPr>
                              <w:tcW w:w="13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2004 / 7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الرقم /</w:t>
                              </w:r>
                              <w:r w:rsidRPr="001C58D5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 </w:t>
                              </w: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السنة </w:t>
                              </w: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:</w:t>
                              </w:r>
                            </w:p>
                          </w:tc>
                        </w:tr>
                        <w:tr w:rsidR="001C58D5" w:rsidRPr="001C58D5">
                          <w:trPr>
                            <w:trHeight w:val="240"/>
                          </w:trPr>
                          <w:tc>
                            <w:tcPr>
                              <w:tcW w:w="3900" w:type="pct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قانون الاجتماعات العامة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> : </w:t>
                              </w: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اسم القانون</w:t>
                              </w:r>
                            </w:p>
                          </w:tc>
                        </w:tr>
                        <w:tr w:rsidR="001C58D5" w:rsidRPr="001C58D5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lang w:bidi="ar-JO"/>
                                </w:rPr>
                                <w:t>1708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lang w:bidi="ar-JO"/>
                                </w:rPr>
                                <w:t xml:space="preserve"> : </w:t>
                              </w: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رقم الصفحة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4653 / 2004-04-15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رقم / تاريخ الجريدة الرسمية :  </w:t>
                              </w:r>
                            </w:p>
                          </w:tc>
                        </w:tr>
                        <w:tr w:rsidR="001C58D5" w:rsidRPr="001C58D5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2004-04-15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 تاريخ العمل به :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المادة (31) من الدستور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C58D5" w:rsidRPr="001C58D5" w:rsidRDefault="001C58D5" w:rsidP="001C58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C58D5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استناداً إلى مادة الدستور :</w:t>
                              </w:r>
                            </w:p>
                          </w:tc>
                        </w:tr>
                      </w:tbl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C58D5" w:rsidRPr="001C58D5" w:rsidRDefault="001C58D5" w:rsidP="001C58D5">
                  <w:pPr>
                    <w:bidi w:val="0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history="1">
                    <w:r w:rsidRPr="001C58D5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" href="http://www.lob.gov.jo/ui/laws/print.jsp?no=7&amp;year=2004&amp;RequestLevel=1" style="width:24pt;height:24pt" o:button="t"/>
                      </w:pict>
                    </w:r>
                  </w:hyperlink>
                </w:p>
                <w:tbl>
                  <w:tblPr>
                    <w:bidiVisual/>
                    <w:tblW w:w="45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504"/>
                    <w:gridCol w:w="475"/>
                    <w:gridCol w:w="66"/>
                    <w:gridCol w:w="66"/>
                    <w:gridCol w:w="66"/>
                  </w:tblGrid>
                  <w:tr w:rsidR="001C58D5" w:rsidRPr="001C58D5">
                    <w:trPr>
                      <w:trHeight w:val="285"/>
                      <w:jc w:val="center"/>
                    </w:trPr>
                    <w:tc>
                      <w:tcPr>
                        <w:tcW w:w="10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6083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E2E5E7"/>
                            <w:sz w:val="24"/>
                            <w:szCs w:val="24"/>
                            <w:rtl/>
                          </w:rPr>
                          <w:t> مواد القانون</w:t>
                        </w: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المادة1-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يسمى هذا القانون ( قانون الاجتماعات العامة لسنة 2004 ) ويعمل به من تاريخ نشره في الجريدة الرسمية.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المادة2-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يكون للكلمات والعبارات التالية حيثما وردت في هذا القانون المعاني المخصصة لها ادناه ما لم تدل القرينة على غير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ذلك:-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الوزير: وزير الداخلية.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الحاكم الاداري: المحافظ او المتصرف او مدير القضاء.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الاجتماع العام : الاجتماع الذي يتم عقده لبحث امر ذي علاقة بالسياسة العامة للدولة 0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المادة3-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أ-للأردنيين حق عقد الاجتماعات العامة او تنظيم المسيرات وفق الأحكام المحددة في المادتين (4) و (5) من هذا القانون ، وتستثنى الاجتماعات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التالية من تلك الاحكام :-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1-اجتماعات الهيئات العامة للجمعيات الخيرية والتطوعية والشركات وغرف التجارة والصناعة والبلديات والنوادي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شريطة ان تكون هذه الاجتماعات مرتبطة بتحقيق غاياتها ووفقاً للتشريعات الناظمة لأعمالها وانشطتها 0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2-الاجتماعات المهنية التي تعقدها النقابات المهنية شريطة ان تكون هذه الاجتماعات مرتبطة بتحقيق غاياتها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ووفقاً للتشريعات الناظمة لاعمالها وانشطتها 0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 اجتماعات الاحزاب السياسية المرخصة قانوناً داخل مقارها في حدود الشروط المنصوص </w:t>
                        </w: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 xml:space="preserve">عليها في قانون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الاحزاب السياسية النافذ المفعول 0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4-الندوات والبرامج الاعلامية التي تعقدها المؤسسات الاعلامية الرسمية 0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5-الاجتماعات داخل اسوار  الجامعات 0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6-الاجتماعات لغايات الاحتفال بالمناسبات الوطنية والدينية المنظمة من قبل لجان الاحتفالات لدى الوزارات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والمحافظات على ان يتم اعلام وزارة الداخلية بها قبل اقامتها بأسبوع على الاقل 0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7-الاجتماعات التي تعقد اثناء الانتخابات 0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ب- للوزير استثناء أي اجتماعات من الاحكام المحددة في المادتين (4) و (5) من هذا القانون 0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المادة4-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?أ-يقدم الاشعار بعقد الاجتماع العام او تنظيم المسيرة لدى الحاكم الاداري قبل الموعد المعين لاجراء اي منهما بثمان واربعين ساعة على الاقل 0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?ب-يجب ان يتضمن الاشعار اسماء منظمي الاجتماع العام او المسيرة وعناوينهم وتواقيعهم والغاية من الاجتماع او المسيرة ومكان وزمان اي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منهما 0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المادة5-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يعتبر كل اجتماع عام يعقد او مسيرة تنظم خلافاً لاحكام هذا القانون والأنظمة الصادرة بموجبه عملاً غير مشروع 0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المادة6-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يتخذ الحاكم الاداري اثناء انعقاد الاجتماع او القيام بالمسيرة جميع التدابير والاجراءات الامنية الضرورية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للمحافظةعلى الامن والنظام وحماية الاموال العامة والخاصة ، وله تكليف الاجهزة المرتبطة به للقيام بهذه المهام.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المادة7-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للحاكم الاداري الامر بفض الاجتماع او تفريق المسيرة اذا رأى ان مجريات أي منهما قد تؤدي الى تعريض الارواح او الممتلكات العامة او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الخاصة  للخطر او المس بالسلامة العامة 0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 xml:space="preserve">المادة8- 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اذا وقع في الاجتماع او المسيرة اخلال بالامن العام او النظام العام او حصل اضرار بالغير او بالاموال العامة او الخاصة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، يتحمل المسببون للاضرار المسؤولية الجزائية والمدنية 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المادة9-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يلتزم مديرو الاجهزة الامنية بالتقيد التام بأوامر وتعليمات الحاكم الاداري المتعلقة بتنفيذ احكام هذا القانون 0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" w:history="1">
                          <w:r w:rsidRPr="001C58D5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المادة10-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يعاقب كل من يخالف احكام هذا القانون بالحبس مدة لا تقل عن شهر ولا تتجاوز ثلاثة اشهر او بغرامة لا تقل عن مائتي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دينار ولا  تتجاوز الف دينار او بكلتا هاتين العقوبتين.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المادة11-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أ-   لمجلس الوزراء اصدار الانظمة اللازمة لتنفيذ احكام هذا القانون.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ب-   وللوزير اصدار التعليمات اللازمة وفق احكام هذا القانون والانظمة الصادرة بمقتضاه.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المادة12-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يلغى قانون الاجتماعات العامة رقم (60) لسنة 1953 وما طرأ عليه من تعديلات.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58D5" w:rsidRPr="001C58D5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المادة13-</w:t>
                        </w:r>
                      </w:p>
                      <w:p w:rsidR="001C58D5" w:rsidRPr="001C58D5" w:rsidRDefault="001C58D5" w:rsidP="001C58D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C58D5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رئيس الوزراء والوزراء مكلفون بتنفيذ احكام هذا القانون.</w:t>
                        </w:r>
                      </w:p>
                    </w:tc>
                  </w:tr>
                  <w:tr w:rsidR="001C58D5" w:rsidRPr="001C58D5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58D5" w:rsidRPr="001C58D5" w:rsidRDefault="001C58D5" w:rsidP="001C58D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C58D5" w:rsidRPr="001C58D5" w:rsidRDefault="001C58D5" w:rsidP="001C58D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58D5" w:rsidRPr="001C58D5" w:rsidTr="001C58D5">
              <w:trPr>
                <w:jc w:val="right"/>
              </w:trPr>
              <w:tc>
                <w:tcPr>
                  <w:tcW w:w="1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C58D5" w:rsidRPr="001C58D5" w:rsidRDefault="001C58D5" w:rsidP="001C58D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89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C58D5" w:rsidRPr="001C58D5" w:rsidRDefault="001C58D5" w:rsidP="001C58D5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C58D5" w:rsidRPr="001C58D5" w:rsidRDefault="001C58D5" w:rsidP="001C58D5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3B6" w:rsidRPr="001C58D5" w:rsidRDefault="00D973B6">
      <w:pPr>
        <w:rPr>
          <w:rFonts w:hint="cs"/>
          <w:lang w:bidi="ar-JO"/>
        </w:rPr>
      </w:pPr>
    </w:p>
    <w:sectPr w:rsidR="00D973B6" w:rsidRPr="001C58D5" w:rsidSect="00D973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8D5"/>
    <w:rsid w:val="000E2C73"/>
    <w:rsid w:val="001C58D5"/>
    <w:rsid w:val="00203312"/>
    <w:rsid w:val="00B054E5"/>
    <w:rsid w:val="00D9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8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58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58D5"/>
  </w:style>
  <w:style w:type="paragraph" w:styleId="HTMLPreformatted">
    <w:name w:val="HTML Preformatted"/>
    <w:basedOn w:val="Normal"/>
    <w:link w:val="HTMLPreformattedChar"/>
    <w:uiPriority w:val="99"/>
    <w:unhideWhenUsed/>
    <w:rsid w:val="001C5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8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b.gov.jo/ui/laws/modifyarticle_descr.jsp?no=7&amp;year=2004&amp;article_no=5&amp;article_no_s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b.gov.jo/ui/laws/modifyarticle_descr.jsp?no=7&amp;year=2004&amp;article_no=4&amp;article_no_s=0" TargetMode="External"/><Relationship Id="rId12" Type="http://schemas.openxmlformats.org/officeDocument/2006/relationships/hyperlink" Target="http://www.lob.gov.jo/ui/laws/modifyarticle_descr.jsp?no=7&amp;year=2004&amp;article_no=9&amp;article_no_s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b.gov.jo/ui/laws/modifyarticle_descr.jsp?no=7&amp;year=2004&amp;article_no=3&amp;article_no_s=0" TargetMode="External"/><Relationship Id="rId11" Type="http://schemas.openxmlformats.org/officeDocument/2006/relationships/hyperlink" Target="http://www.lob.gov.jo/ui/laws/modifyarticle_descr.jsp?no=7&amp;year=2004&amp;article_no=8&amp;article_no_s=0" TargetMode="External"/><Relationship Id="rId5" Type="http://schemas.openxmlformats.org/officeDocument/2006/relationships/hyperlink" Target="http://www.lob.gov.jo/ui/laws/modifyarticle_descr.jsp?no=7&amp;year=2004&amp;article_no=2&amp;article_no_s=0" TargetMode="External"/><Relationship Id="rId10" Type="http://schemas.openxmlformats.org/officeDocument/2006/relationships/hyperlink" Target="http://www.lob.gov.jo/ui/laws/modifyarticle_descr.jsp?no=7&amp;year=2004&amp;article_no=7&amp;article_no_s=0" TargetMode="External"/><Relationship Id="rId4" Type="http://schemas.openxmlformats.org/officeDocument/2006/relationships/hyperlink" Target="http://www.lob.gov.jo/ui/laws/print.jsp?no=7&amp;year=2004&amp;RequestLevel=1" TargetMode="External"/><Relationship Id="rId9" Type="http://schemas.openxmlformats.org/officeDocument/2006/relationships/hyperlink" Target="http://www.lob.gov.jo/ui/laws/modifyarticle_descr.jsp?no=7&amp;year=2004&amp;article_no=6&amp;article_no_s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2012-10-09T10:09:00Z</dcterms:created>
  <dcterms:modified xsi:type="dcterms:W3CDTF">2012-10-09T11:45:00Z</dcterms:modified>
</cp:coreProperties>
</file>