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7908C3" w:rsidRPr="007908C3" w:rsidTr="007908C3">
        <w:trPr>
          <w:trHeight w:val="210"/>
        </w:trPr>
        <w:tc>
          <w:tcPr>
            <w:tcW w:w="11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8C3" w:rsidRPr="007908C3" w:rsidRDefault="007908C3" w:rsidP="007908C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908C3" w:rsidRPr="007908C3" w:rsidTr="007908C3">
        <w:trPr>
          <w:trHeight w:val="13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87"/>
              <w:gridCol w:w="555"/>
              <w:gridCol w:w="4"/>
              <w:gridCol w:w="1865"/>
              <w:gridCol w:w="1021"/>
              <w:gridCol w:w="1620"/>
              <w:gridCol w:w="1754"/>
            </w:tblGrid>
            <w:tr w:rsidR="007908C3" w:rsidRPr="007908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57300" cy="847725"/>
                        <wp:effectExtent l="19050" t="0" r="0" b="0"/>
                        <wp:docPr id="1" name="Picture 1" descr="http://www.lob.gov.jo/ui/images/top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lob.gov.jo/ui/images/top_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47675" cy="847725"/>
                        <wp:effectExtent l="19050" t="0" r="9525" b="0"/>
                        <wp:docPr id="2" name="Picture 2" descr="http://www.lob.gov.jo/ui/images/top_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lob.gov.jo/ui/images/top_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t"/>
                  <w:bookmarkEnd w:id="0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71625" cy="847725"/>
                        <wp:effectExtent l="19050" t="0" r="9525" b="0"/>
                        <wp:docPr id="3" name="Picture 3" descr="http://www.lob.gov.jo/ui/images/top_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lob.gov.jo/ui/images/top_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57250" cy="847725"/>
                        <wp:effectExtent l="19050" t="0" r="0" b="0"/>
                        <wp:docPr id="4" name="Picture 4" descr="http://www.lob.gov.jo/ui/images/top_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lob.gov.jo/ui/images/top_0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62075" cy="847725"/>
                        <wp:effectExtent l="19050" t="0" r="9525" b="0"/>
                        <wp:docPr id="5" name="Picture 5" descr="http://www.lob.gov.jo/ui/images/top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lob.gov.jo/ui/images/top_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76375" cy="847725"/>
                        <wp:effectExtent l="19050" t="0" r="9525" b="0"/>
                        <wp:docPr id="6" name="Picture 6" descr="http://www.lob.gov.jo/ui/images/top_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lob.gov.jo/ui/images/top_0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08C3" w:rsidRPr="007908C3" w:rsidRDefault="007908C3" w:rsidP="007908C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8C3" w:rsidRPr="007908C3" w:rsidTr="007908C3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296"/>
              <w:gridCol w:w="900"/>
              <w:gridCol w:w="270"/>
              <w:gridCol w:w="840"/>
              <w:gridCol w:w="210"/>
              <w:gridCol w:w="960"/>
              <w:gridCol w:w="270"/>
              <w:gridCol w:w="750"/>
              <w:gridCol w:w="240"/>
              <w:gridCol w:w="900"/>
              <w:gridCol w:w="240"/>
              <w:gridCol w:w="930"/>
            </w:tblGrid>
            <w:tr w:rsidR="007908C3" w:rsidRPr="007908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drawing>
                      <wp:inline distT="0" distB="0" distL="0" distR="0">
                        <wp:extent cx="923925" cy="238125"/>
                        <wp:effectExtent l="19050" t="0" r="9525" b="0"/>
                        <wp:docPr id="7" name="Picture 7" descr="http://www.lob.gov.jo/ui/laws/includes/images/menu1_03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lob.gov.jo/ui/laws/includes/images/menu1_03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drawing>
                      <wp:inline distT="0" distB="0" distL="0" distR="0">
                        <wp:extent cx="552450" cy="238125"/>
                        <wp:effectExtent l="19050" t="0" r="0" b="0"/>
                        <wp:docPr id="8" name="Picture 8" descr="http://www.lob.gov.jo/ui/laws/includes/images/menu1_05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lob.gov.jo/ui/laws/includes/images/menu1_05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238125"/>
                        <wp:effectExtent l="19050" t="0" r="0" b="0"/>
                        <wp:docPr id="9" name="Picture 9" descr="http://www.lob.gov.jo/ui/laws/includes/images/menu1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lob.gov.jo/ui/laws/includes/images/menu1_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drawing>
                      <wp:inline distT="0" distB="0" distL="0" distR="0">
                        <wp:extent cx="514350" cy="238125"/>
                        <wp:effectExtent l="19050" t="0" r="0" b="0"/>
                        <wp:docPr id="10" name="Picture 10" descr="http://www.lob.gov.jo/ui/laws/includes/images/menu1_07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lob.gov.jo/ui/laws/includes/images/menu1_07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300" cy="238125"/>
                        <wp:effectExtent l="19050" t="0" r="0" b="0"/>
                        <wp:docPr id="11" name="Picture 11" descr="http://www.lob.gov.jo/ui/laws/includes/images/menu1_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lob.gov.jo/ui/laws/includes/images/menu1_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drawing>
                      <wp:inline distT="0" distB="0" distL="0" distR="0">
                        <wp:extent cx="581025" cy="238125"/>
                        <wp:effectExtent l="19050" t="0" r="9525" b="0"/>
                        <wp:docPr id="12" name="Picture 12" descr="http://www.lob.gov.jo/ui/laws/includes/images/menu1_09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lob.gov.jo/ui/laws/includes/images/menu1_09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238125"/>
                        <wp:effectExtent l="19050" t="0" r="9525" b="0"/>
                        <wp:docPr id="13" name="Picture 13" descr="http://www.lob.gov.jo/ui/laws/includes/images/menu1_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lob.gov.jo/ui/laws/includes/images/menu1_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drawing>
                      <wp:inline distT="0" distB="0" distL="0" distR="0">
                        <wp:extent cx="447675" cy="238125"/>
                        <wp:effectExtent l="19050" t="0" r="9525" b="0"/>
                        <wp:docPr id="14" name="Picture 14" descr="http://www.lob.gov.jo/ui/laws/includes/images/menu1_11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lob.gov.jo/ui/laws/includes/images/menu1_11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3825" cy="238125"/>
                        <wp:effectExtent l="19050" t="0" r="9525" b="0"/>
                        <wp:docPr id="15" name="Picture 15" descr="http://www.lob.gov.jo/ui/laws/includes/images/menu1_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lob.gov.jo/ui/laws/includes/images/menu1_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drawing>
                      <wp:inline distT="0" distB="0" distL="0" distR="0">
                        <wp:extent cx="542925" cy="238125"/>
                        <wp:effectExtent l="19050" t="0" r="9525" b="0"/>
                        <wp:docPr id="16" name="Picture 16" descr="http://www.lob.gov.jo/ui/laws/includes/images/menu1_13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lob.gov.jo/ui/laws/includes/images/menu1_13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3825" cy="238125"/>
                        <wp:effectExtent l="19050" t="0" r="9525" b="0"/>
                        <wp:docPr id="17" name="Picture 17" descr="http://www.lob.gov.jo/ui/laws/includes/images/menu1_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lob.gov.jo/ui/laws/includes/images/menu1_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drawing>
                      <wp:inline distT="0" distB="0" distL="0" distR="0">
                        <wp:extent cx="561975" cy="238125"/>
                        <wp:effectExtent l="19050" t="0" r="9525" b="0"/>
                        <wp:docPr id="18" name="Picture 18" descr="http://www.lob.gov.jo/ui/laws/includes/images/menu1_15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lob.gov.jo/ui/laws/includes/images/menu1_15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08C3" w:rsidRPr="007908C3" w:rsidRDefault="007908C3" w:rsidP="007908C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8C3" w:rsidRPr="007908C3" w:rsidTr="007908C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7974"/>
              <w:gridCol w:w="166"/>
            </w:tblGrid>
            <w:tr w:rsidR="007908C3" w:rsidRPr="007908C3">
              <w:trPr>
                <w:jc w:val="right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908C3" w:rsidRPr="007908C3">
              <w:trPr>
                <w:jc w:val="right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73"/>
                    <w:gridCol w:w="1833"/>
                    <w:gridCol w:w="1833"/>
                    <w:gridCol w:w="1540"/>
                  </w:tblGrid>
                  <w:tr w:rsidR="007908C3" w:rsidRPr="007908C3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9" w:history="1">
                          <w:r w:rsidRPr="007908C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3"/>
                              <w:u w:val="single"/>
                              <w:rtl/>
                            </w:rPr>
                            <w:t>الأنظمة الصادرة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0" w:history="1">
                          <w:r w:rsidRPr="007908C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3"/>
                              <w:u w:val="single"/>
                              <w:rtl/>
                              <w:lang w:bidi="ar-JO"/>
                            </w:rPr>
                            <w:t>القانون كما صدر</w:t>
                          </w:r>
                        </w:hyperlink>
                      </w:p>
                    </w:tc>
                  </w:tr>
                </w:tbl>
                <w:p w:rsidR="007908C3" w:rsidRPr="007908C3" w:rsidRDefault="007908C3" w:rsidP="007908C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4500" w:type="pct"/>
                    <w:jc w:val="center"/>
                    <w:tblBorders>
                      <w:top w:val="outset" w:sz="6" w:space="0" w:color="E2E5E7"/>
                      <w:left w:val="outset" w:sz="6" w:space="0" w:color="E2E5E7"/>
                      <w:bottom w:val="outset" w:sz="6" w:space="0" w:color="E2E5E7"/>
                      <w:right w:val="outset" w:sz="6" w:space="0" w:color="E2E5E7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62"/>
                  </w:tblGrid>
                  <w:tr w:rsidR="007908C3" w:rsidRPr="007908C3">
                    <w:trPr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sz="6" w:space="0" w:color="E2E5E7"/>
                          <w:left w:val="outset" w:sz="6" w:space="0" w:color="E2E5E7"/>
                          <w:bottom w:val="outset" w:sz="6" w:space="0" w:color="E2E5E7"/>
                          <w:right w:val="outset" w:sz="6" w:space="0" w:color="E2E5E7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572"/>
                          <w:gridCol w:w="286"/>
                          <w:gridCol w:w="715"/>
                          <w:gridCol w:w="143"/>
                          <w:gridCol w:w="2859"/>
                          <w:gridCol w:w="1572"/>
                        </w:tblGrid>
                        <w:tr w:rsidR="007908C3" w:rsidRPr="007908C3">
                          <w:trPr>
                            <w:trHeight w:val="270"/>
                          </w:trPr>
                          <w:tc>
                            <w:tcPr>
                              <w:tcW w:w="5000" w:type="pct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2E5E7"/>
                              <w:vAlign w:val="center"/>
                              <w:hideMark/>
                            </w:tcPr>
                            <w:p w:rsidR="007908C3" w:rsidRPr="007908C3" w:rsidRDefault="007908C3" w:rsidP="007908C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 xml:space="preserve">    </w:t>
                              </w:r>
                              <w:r w:rsidRPr="007908C3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معلومات القانون</w:t>
                              </w:r>
                              <w:r w:rsidRPr="007908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7908C3" w:rsidRPr="007908C3">
                          <w:trPr>
                            <w:trHeight w:val="270"/>
                          </w:trPr>
                          <w:tc>
                            <w:tcPr>
                              <w:tcW w:w="13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حقوقي</w:t>
                              </w:r>
                            </w:p>
                          </w:tc>
                          <w:tc>
                            <w:tcPr>
                              <w:tcW w:w="6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تصنيفه :</w:t>
                              </w:r>
                            </w:p>
                          </w:tc>
                          <w:tc>
                            <w:tcPr>
                              <w:tcW w:w="13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1941 / 8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الرقم /</w:t>
                              </w:r>
                              <w:r w:rsidRPr="007908C3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 </w:t>
                              </w: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السنة </w:t>
                              </w: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:</w:t>
                              </w:r>
                            </w:p>
                          </w:tc>
                        </w:tr>
                        <w:tr w:rsidR="007908C3" w:rsidRPr="007908C3">
                          <w:trPr>
                            <w:trHeight w:val="240"/>
                          </w:trPr>
                          <w:tc>
                            <w:tcPr>
                              <w:tcW w:w="3900" w:type="pct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7908C3" w:rsidRPr="007908C3" w:rsidRDefault="007908C3" w:rsidP="007908C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قانون التركات للاجانب وغير المسلمين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7908C3" w:rsidRPr="007908C3" w:rsidRDefault="007908C3" w:rsidP="007908C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> : </w:t>
                              </w: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اسم القانون</w:t>
                              </w:r>
                            </w:p>
                          </w:tc>
                        </w:tr>
                        <w:tr w:rsidR="007908C3" w:rsidRPr="007908C3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lang w:bidi="ar-JO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lang w:bidi="ar-JO"/>
                                </w:rPr>
                                <w:t xml:space="preserve"> : </w:t>
                              </w: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رقم الصفحة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700 / 1941-03-01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رقم / تاريخ الجريدة الرسمية :  </w:t>
                              </w:r>
                            </w:p>
                          </w:tc>
                        </w:tr>
                        <w:tr w:rsidR="007908C3" w:rsidRPr="007908C3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1941-04-01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 تاريخ العمل به :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المادة (19) من القانون الاساسي ، وبناء على ما قرره المجلس التشريعي ف يجلسته المنعقدة بتاريخ 6-2-1941 ، نصادق على القنون التالي ونأمر باصداره :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7908C3" w:rsidRPr="007908C3" w:rsidRDefault="007908C3" w:rsidP="007908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908C3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استناداً إلى مادة الدستور :</w:t>
                              </w:r>
                            </w:p>
                          </w:tc>
                        </w:tr>
                      </w:tbl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908C3" w:rsidRPr="007908C3" w:rsidRDefault="007908C3" w:rsidP="007908C3">
                  <w:pPr>
                    <w:bidi w:val="0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 w:history="1">
                    <w:r>
                      <w:rPr>
                        <w:rFonts w:ascii="Simplified Arabic" w:eastAsia="Times New Roman" w:hAnsi="Simplified Arabic" w:cs="Simplified Arabic"/>
                        <w:noProof/>
                        <w:color w:val="4B6583"/>
                        <w:sz w:val="20"/>
                        <w:szCs w:val="20"/>
                      </w:rPr>
                      <w:drawing>
                        <wp:inline distT="0" distB="0" distL="0" distR="0">
                          <wp:extent cx="257175" cy="161925"/>
                          <wp:effectExtent l="19050" t="0" r="9525" b="0"/>
                          <wp:docPr id="19" name="Picture 19" descr="http://www.lob.gov.jo/ui/laws/print.gif">
                            <a:hlinkClick xmlns:a="http://schemas.openxmlformats.org/drawingml/2006/main" r:id="rId3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http://www.lob.gov.jo/ui/laws/print.gif">
                                    <a:hlinkClick r:id="rId3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908C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طباعة</w:t>
                    </w:r>
                  </w:hyperlink>
                </w:p>
                <w:tbl>
                  <w:tblPr>
                    <w:bidiVisual/>
                    <w:tblW w:w="4500" w:type="pct"/>
                    <w:jc w:val="center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476"/>
                    <w:gridCol w:w="503"/>
                    <w:gridCol w:w="66"/>
                    <w:gridCol w:w="66"/>
                    <w:gridCol w:w="66"/>
                  </w:tblGrid>
                  <w:tr w:rsidR="007908C3" w:rsidRPr="007908C3">
                    <w:trPr>
                      <w:trHeight w:val="285"/>
                      <w:jc w:val="center"/>
                    </w:trPr>
                    <w:tc>
                      <w:tcPr>
                        <w:tcW w:w="10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6083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E2E5E7"/>
                            <w:sz w:val="24"/>
                            <w:szCs w:val="24"/>
                            <w:rtl/>
                          </w:rPr>
                          <w:t> مواد القانون</w:t>
                        </w: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1- يسمى هذا القانون ( قانون التركات للاجانب وغير المسلمين ) ويعمل به بعد مرور شهر على نشره في الجريدة الرسمية.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ويسري حكمه على اية تركة لا تكون قد وزعت فعلا حين العمل به.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2- في هذا القانون  ما لم تتطلب القرينة غير ذلك يكون معنى ( ذيل الوصية ) وثيقة خطية متعلقة بوصية وهي كالوصية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توضح سند التصرف بالتركة او تضيف اليه او تلغيه كله او تلغي اي قسم منه.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ومعنى ( اجنبي ) شخص غير اردني التابعية.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وتشمل ( الاموال غير المنقولة ) الاراضي الاميرية والاراضي المملوكة.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وتشمل (الاراضي الاميرية  ) الاراضي الموقوفة وجميع الاراضي الاخرى التي تسري عليها صراحة احكام القانون العثماني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كما هو معرف في هذا القانون كما تشمل ايضا اي حق مسجل في هذه الاراضي.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وتشمل ( الاموال المنقولة ) جميع الاموال ما عدا غير المنقولة منها وتشمل بصورة خاصة الغلال او الحاصلات النابتة وان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كانت لا تزال غير مجنية من الارض او الشجر وتشمل ( الاراضي المملكوكة ) جميع الاراضي القابلة لان تورث او اي حق فيها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على ان لا تكون اراضي اميرية.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وتشمل ( الاموال ) الاموال المنقولة وغير المنقولة على السواء.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ومعنى ( القانون العثماني ) الترجمة العربية لقانون انتقال الاموال غير المنقولة المؤقت المؤرخ 3 ربيع الآخر 1331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كما هي مدرجة في الجدول الملحق بهذا القانون.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ومعنى ( وصية)  تصريح قانوني خطي يتضمن مشيئة الموصي في كيفية التصرف بامواله بعد وفاته وتشمل ذيل الوصية.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3- تكون للمحاكم البدائية صلاحية النظر في الامور المتعلقة بتصديق الوصايا او بوراثة الاموال في شرق الاردن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او بما ينشأ من خلاف حول وصية او حول مثل هذه الوراثة وذلك في جميع الحالات الت لم يصرح القانون باعطاء صلاحية النظر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فيها الى محكمة اخرى. ومع مراعاة احكام المادة الخامسة من هذا القانون تنفرد تلك المحاكم بالصلاحية في جميع هذه الحالات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اذا كان المتوفى اجنبياً.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3" w:history="1">
                          <w:r w:rsidRPr="007908C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4- مع مراعاة احكام المادة التاسعة من هذا القانون تقوم المحكمة البدائية بتوزيع اموال الاجنبي المتوفى بحسب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القواعد التالية:-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(أ) توزع الاموال المنقولة التي خلفها المتوفى حسب قانون بلاده.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(ب) تقرر صحة الوصية التي تركها المتوفى من حيث شكلها واهليته لعملها حسب قانون بلاده على انه اذا كانت الوصية معمولة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بشكل مدني بمقتضى هذا القانون فانها تعتبر صحيحة في جميع الاحوال.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(ج) اذا كان قانون البلاد التي ينتمي اليها المتوفى ينص على تطبيق قانون محل الاقامة او القانون الديني يطبق القانون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المنصوص على تطبيقه بهذه الصورة. بشرط انه اذا كان قانون بلاده ينص على تطبيق قانون محل الاقامة او القانون الديني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ولم يكن في القانونين المذكورين قواعد يمكن تطبيقها على الشخص المختص فالقانون الواجب تطبيقه هو قانون بلاده ويشترط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كذلك اذا كان قانون بلاده لا ينص على قواعد يمكن تطبيقها على الشخص المختص ان يطبق القانون العثماني.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4" w:history="1">
                          <w:r w:rsidRPr="007908C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5- في اية حالة يكون فيها الاجنبي المتوفى عند وفاته مسلما ويكون قانون بلاده قد نص </w:t>
                        </w: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على تطبيق الشرع الاسلامي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فيما يتعلق بتوزيع امواله او منتميا الى طائفة دينية غير مسلمة لها مجلس طائفة ديني يجوز لرئيس المحكمة البدائية ان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يحيل امر ادارة اموال هذا الشخص وتوزيعها على المحكمة الدينية ذات الاختصاص اذا هو استصوب ذلك ورآه عدلا.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6- مع مراعاة احكام المادتين الرابعة من هذا القانون يترتب على المحاكم البدائية ومجلس الطوائف الدينيى لدى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قيامها بادارة اموال المتوفى وتوزيعها ان تتبع القواعد التالية:-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(أ) اذا كانت ارملة المتوفى حاملا عند وفاته فلا توزع امواله الا بعد الولادة.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(ب) لا يجوز للموصي ان يتصرف باكثر من ثلث امواله بوصية وتتبع التعلميات المذكورة في وصيته فيما يتعلق بهذا الثلث.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(ج) اذا كان الموصي عند وفاته منتميا الى طائفة دينية غير مسلمة لها مجلس طائف ديني تقرر صحة اية وصية تركها من حيث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شكلها او اهليته لعملها بمقتضى قانون مجلس الطائفة الديني المذكور على انه اذا كانت الوصية معمولة بشكل مدني بمقتضى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هذا القانون فانها تعتبر صحيحة في جميع الاحوال.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(د) اذا لم يكن الموصي عند وفاته منتميا الى طائفة دينية غير مسلمة لها مجلس طائفة ديني فتقرر صحة اية وصية تركها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من حيث شكلها واهليته لعملها بمقتضى هذا القانون.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(هـ) تطبق احكام القانون العثماني في توزيع جميع التركة عندما لا يترك المتوفى وصية وفي توزيع ما لم يتصرف به او تصرف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به بصورة غير مشروعة في وصيته من الاموال التي خلفها اذا هو ترك وصية.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5" w:history="1">
                          <w:r w:rsidRPr="007908C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7- تعتبر الوصية الموضوعة بشكل مدني صحيحة اذا توفرت فيها الشروك التالية:-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(أ) ان تكون الوصية مكتوبة وموقعا عليها او مختومة ف ينهايتها من قبل الموصي او اي شخص آخر عهد اليه الموصي بذلك وفي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كلتا الحالتين يجب ان يتم التوقيع او الختم بحضور شاهدين على الاقل يشهدان معا على الوصية بحضور الموصي وان يكونا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سليمي العقل عند عمل الوصية وقد بلغا الثامنة عشرة من العمر.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(ب) ان لا يكون الموصي دون الثامنة عشرة من العمر عند عمل الوصية وان لا يكون مصابا بعاهة في عقله.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(ج) ان لا يكون الموصي قد حمل على عمل الوصية بالاحتيال او بتأثير غير مشروع.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8- لا يحق لاي شخص ان ينال اية منفعة بموجب وصية معمولة بشكل مدني اذا كان </w:t>
                        </w: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احد الذين شهدوا عليها.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9- المحاكم البدائية ومجالس الطوائف الدينية التي لها الصلاحية في مسائل الوراثة تقرر في جميع الاحوال حقوق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وراثة الاموال غير المنقولة الواقعة في شرق الاردن بمقتضى احكام قوانين شرق الاردن المطبقة على المسلمين فيما يختص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بمثل هذه الوراثة. ويجب ان تطبق هذه الاحكام بصرف النظر عن أي تصرف قام به المتوفى او وكالة اعطاها بقصد التنفيذ بعد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وفاته سواء أكان ذلك بوصية او بطريقة اخرى.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6" w:history="1">
                          <w:r w:rsidRPr="007908C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10- اذا ظهر ان شخصا دون الثامنة عشرة من العمر له حق في اموال شخص متوفى تديرها محكمة بدائية فيجوز للمحكمة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ان تصدر الأمر الذي تراه مناسباً للمحافظة على حق هذا الشخص ويجوز بصورة خاصة ان تصدر اوامر:-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(أ) بتفويض بيع او ايجار حصة هذا الشخص او أي قسم منها.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(ب) ببيان كيفية استعمال او استثمار هذه الحصة او ريعها. 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(ج) ببيان كيفية دفع مبالغ من اصل رأس المال او من الريع لاعالة هذا الشخص او لمنفعته.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(د) بتعيين من يقوم مقام هذا الشخص في أية اجراءات.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11- في أية اجراءات لدى محكمة بدائية او مجلس ديني لا تكون جنسية أي شخص او عقيدته الدينية وحدها سببا? في اعتباره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فاقد الاهلية القانونية لنيل حصة في أية تركة او نيل ما يصيبه بمقتضى أية وصية.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12- اذا كانت اموال المتوفى التي تديرها محكمة بدائية او مجلس طائفة ديني تشمل اموالا غير منقولة فعلى المحكمة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او المجلس او يوعز بتدوين مذكرة بذلك في الحال في دائرة التسجيل ولا يحق لمدير الاراضي بعد ذلك القيد ان يدون في السجل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أية قيود جديدة تتعلق بحقوق اشخاص في الاموال المذكورة الا بأمر من تلك المحكمة او ذلك المجلس.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اذا احالت محكمة بدائية اي شأن من شؤون الادارة على محكمة دينية بمقتضى المادة الخامسة من هذا القانون فيترتب على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المحكمة البدائية المذكورة ان تعلم دائرة التسجيل بهذه الاحالة ويقوم امر هذه المحكمة الدينية حينئذ مقام امر المحكمة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البدائية.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13- كل من يدعي ان له حقاً في أية حصة من أموال غير منقولة تؤلف جزءاً من تركة تديرها محكمة بدائية او مجلس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طائفة ديني يجوز له ان يطلب الى مدير الاراضي ان يقيد اسمه في السجل من اجل حصته ويتم هذا القيد بناء على ذلك عند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دفعه الرسوم المعينة وابرازه امراً للمدير من المحكمة او المجلس.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يجوز للمدير المذكور ان يرفض القيد بمقتضى ذلك الامر في اية حالة اذا كان لديه ما يحمله على الاعتقاد بان الاشخاص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الذين يحق لهم قيد اسمائهم كورثة بموجب ذلك الامر ليسوا الورثة الوحيدين للمتوفى الا اذا نص في الامر المذكور على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انه يحوي اسماء جميع الاشخاص المعروفين عندئذ بانهم ورثة المتوفى. واذا كان لدى مدير الاراضي ما يدعوه للشك فيما اذا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كان للمحكمة او المجلس الذي اصدر الامر المذكور صلاحية اصداره فيجوز له ان يحيل المسألة على المحكمة المؤلفة بموجب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قانون مجالس الطوائف الدينية غير المسلمة لتعيين المرجع في قضايا الاختلاف على الوظيفة وعليه ان يدون في السجل مذكرة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بالطلب والاحالة.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14- لمجلس الوزراء بموافقة سمو الامير المعظم ان يضع من وقت الى آخر انظمة بشأن الامور التالية وله ان يغيرها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او يلغيها: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(أ) الاصول الواجب اتباعهت في اجراءات المحاكم البدائية لادارة تركة الاشخاص المتوفين والرسوم التي يجب ان تدفع والنفقات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التي يسمح بها في هذه الاجراءات.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(ب) صلاحية كل محكمة بدائية بشأن الاجراءات لادارة التركة.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(ج) الاصول الواجب اتباعها في دائرة التسجيل فيما يتعلق بقيد اسماء اشخاص في السجل يستحقون حصة في الاموال غير المنقولة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التي تؤلف جزءا من التركة.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(د) استثمار حصص القاصرين او حقوقهم والتصرف بها.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(هـ) اية مسألة اخرى تتطلب نظاما بمقتضى هذا القانون.</w:t>
                        </w: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15- يلغى ما يناقض احكام هذا القانون من احكام اي قانون آخر.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الجدول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قانون انتقال الاموال غير المنقولة الموقت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( 3 ربيع الاخر 1331-27 شباط سنة 1328 )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 عند وفاة شخص ينتقل ما في تصرفه من الاراضي الاميرية والموقوفة الى شخص او اشخاص متعددين بحسب الدرجات الآتي ذكرها.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ويطلق على هؤلاء الاشخاص " اصحاب حق الانتقال ".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2- الدرجة الاولى من اصحاب حق الانتقال فروع المتوفى اي اولاده واحفاده ، في هذه الدرجة يكون حق الانتقال في اول الامر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للاولاد ثم للاحفاد باعتبارهم اخلافا وكذلك لاحفاد الاولاد وعليه فكل فرع يكون حيا عند موت المتوفى يمنع من حق الانتقال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الفروع التي اتصلت بواسطته بالمتوفى واي فرع مات قبل المتوفى تقوم فروعه مقامه اي انها تنال الحصة التي كانت ستنتقل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اليه. فان وجد ان المتوفى كان له اولاد متعددون ماتوا كلهم قبله تنتقل حصة كل منهم الى فروعه المتصلة بواسطته للمتوفى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واذا مات بعض الاولاد دون ان يعقب انحصر حق الانتقال للاولاد الآخرين او بفروعهم وكلما تعددت البطون يعامل الجميع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حسب هذه القواعد ويتساوى الذكور والاناث من الاولاد والاحفاد في حق الانتقال.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3- الدرجة الثانية من اصحاب حق الانتقال أبوا المتوفى وفروعهما. فاذا كان الابوان حيين فيكون حق الانتقال بالتساوي.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واذا كان احدهما قد مات قبل المتوفى قامت فروعه مقامه بترتيب حسب الاحكام المذكورة في الدرجة الاولى فان لم توجد له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فروع انحصر حق الانتقال في من لا يزال حيا من الابوين. واذا كان الابوين قد توفيا كلاهما قبلا تنتقل حصة كل منهما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الى فروعه بترتيب الدرجات فان لم يكن لاحدهما فروع انتقلت حصته ايضا الى فروع الاخر.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4- الدرجة الثالثة من اصحاب حق الانتقال جدا المتوفى وجدتاه وفروعهم. اذا كان الجدان والجدتان من جهتي الابوين جميعهم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احياء ينالون حق الانتقال بالتساوي. واذا كان احدهم قد مات قبل المتوفى تقوم فروعه مقامه بترتيب الدرجات فان لم تكن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له فروع انتقلت الحصة التي كانت ستصيبه الى من كان حيا من زوجة الجد او زوج الجدة. وان لم يكن هذا حيا انتقلت الى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فروعه اذا كان الجدان من جهة احد الابوين متوفيين ولم تكن لهما فروع ينحصر حق الانتقال بالجدين من الجهة الاخرى او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بفروعهما. الفروع التي تخلف الابوين والجدين بمقتضى هذه المادة تتبع احكام الانتقل المذكورة في الدرجة الاولى.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5- اذا نال اي فرع من فروع الدرجات الاولى والثانية والثالثة حق الانتقال من جهات متعددة فانه يأخذ ما يصيبه من جميع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هذه الجهات.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6- لا تنال المؤخرة من الدرجات المذكورة في المواد السابقة حق الانتقال بوجود المقدمة منها غير انه اذا كان الابوين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او احدهما في قيد الحياة حال وجود اولاد المتوفى واحفاده فان حصة السدس تنتقل اليهما او الى </w:t>
                        </w: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من كان منهما حيا.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7- ينال زوج المتوفى او زوجته حصة الربع اذا اجتمع باصحاب حق الانتقال من الدرجة الاولى وحصة النصف اذا اجتمع باصحاب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حق الانتقال من الدرجة الثانية او اجتمع بالجد والجدة فاذا اقتضت المادة الرابعة اشتراك فروع الجدود مع الجدود في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نوال حق الانتقال فان ما يصيب هذه الفروع يأخذه ايضا الحي من الزوج او الزوجة اذا لم يوجد احد من اصحاب حق الانتقال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7908C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بالدرجتين الاولى والثانية او من الجدود والجدات فينحصر حق الانتقال بالزوج والزوجة.</w:t>
                        </w:r>
                      </w:p>
                      <w:p w:rsidR="007908C3" w:rsidRPr="007908C3" w:rsidRDefault="007908C3" w:rsidP="007908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908C3" w:rsidRPr="007908C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08C3" w:rsidRPr="007908C3" w:rsidRDefault="007908C3" w:rsidP="007908C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908C3" w:rsidRPr="007908C3" w:rsidRDefault="007908C3" w:rsidP="007908C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7908C3" w:rsidRPr="007908C3">
              <w:trPr>
                <w:jc w:val="right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908C3" w:rsidRPr="007908C3" w:rsidRDefault="007908C3" w:rsidP="007908C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8C3" w:rsidRPr="007908C3" w:rsidTr="007908C3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  <w:gridCol w:w="6086"/>
            </w:tblGrid>
            <w:tr w:rsidR="007908C3" w:rsidRPr="007908C3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noProof/>
                      <w:color w:val="4B6583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1390650" cy="238125"/>
                        <wp:effectExtent l="19050" t="0" r="0" b="0"/>
                        <wp:docPr id="20" name="Picture 20" descr="http://www.lob.gov.jo/ui/laws/includes/images/footer_01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lob.gov.jo/ui/laws/includes/images/footer_01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908C3" w:rsidRPr="007908C3" w:rsidRDefault="007908C3" w:rsidP="007908C3">
                  <w:pPr>
                    <w:bidi w:val="0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8C3">
                    <w:rPr>
                      <w:rFonts w:ascii="Times New Roman" w:eastAsia="Times New Roman" w:hAnsi="Times New Roman" w:cs="Times New Roman"/>
                      <w:color w:val="4B6583"/>
                      <w:sz w:val="20"/>
                      <w:szCs w:val="20"/>
                    </w:rPr>
                    <w:t>   </w:t>
                  </w:r>
                  <w:r w:rsidRPr="007908C3">
                    <w:rPr>
                      <w:rFonts w:ascii="Times New Roman" w:eastAsia="Times New Roman" w:hAnsi="Times New Roman" w:cs="Times New Roman"/>
                      <w:color w:val="4B6583"/>
                      <w:sz w:val="24"/>
                      <w:szCs w:val="24"/>
                    </w:rPr>
                    <w:t> </w:t>
                  </w:r>
                  <w:hyperlink r:id="rId39" w:history="1">
                    <w:r w:rsidRPr="007908C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الدستور</w:t>
                    </w:r>
                  </w:hyperlink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0"/>
                      <w:szCs w:val="20"/>
                      <w:lang w:bidi="ar-JO"/>
                    </w:rPr>
                    <w:t>|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hyperlink r:id="rId40" w:history="1">
                    <w:r w:rsidRPr="007908C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القوانين</w:t>
                    </w:r>
                  </w:hyperlink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0"/>
                      <w:szCs w:val="20"/>
                      <w:lang w:bidi="ar-JO"/>
                    </w:rPr>
                    <w:t>|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hyperlink r:id="rId41" w:history="1">
                    <w:r w:rsidRPr="007908C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الأنظمة</w:t>
                    </w:r>
                  </w:hyperlink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0"/>
                      <w:szCs w:val="20"/>
                      <w:lang w:bidi="ar-JO"/>
                    </w:rPr>
                    <w:t>|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hyperlink r:id="rId42" w:history="1">
                    <w:r w:rsidRPr="007908C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الاتفاقيات</w:t>
                    </w:r>
                  </w:hyperlink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0"/>
                      <w:szCs w:val="20"/>
                      <w:lang w:bidi="ar-JO"/>
                    </w:rPr>
                    <w:t>|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hyperlink r:id="rId43" w:history="1">
                    <w:r w:rsidRPr="007908C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المبادئ</w:t>
                    </w:r>
                  </w:hyperlink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0"/>
                      <w:szCs w:val="20"/>
                      <w:lang w:bidi="ar-JO"/>
                    </w:rPr>
                    <w:t>|</w:t>
                  </w:r>
                  <w:r w:rsidRPr="007908C3">
                    <w:rPr>
                      <w:rFonts w:ascii="Times New Roman" w:eastAsia="Times New Roman" w:hAnsi="Times New Roman" w:cs="Times New Roman" w:hint="cs"/>
                      <w:color w:val="4B6583"/>
                      <w:sz w:val="24"/>
                      <w:szCs w:val="24"/>
                      <w:lang w:bidi="ar-JO"/>
                    </w:rPr>
                    <w:t> </w:t>
                  </w:r>
                  <w:hyperlink r:id="rId44" w:history="1">
                    <w:r w:rsidRPr="007908C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التفاسير</w:t>
                    </w:r>
                  </w:hyperlink>
                </w:p>
              </w:tc>
            </w:tr>
            <w:tr w:rsidR="007908C3" w:rsidRPr="007908C3">
              <w:trPr>
                <w:trHeight w:val="12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8C3" w:rsidRPr="007908C3" w:rsidRDefault="007908C3" w:rsidP="007908C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4"/>
                    </w:rPr>
                  </w:pPr>
                </w:p>
              </w:tc>
            </w:tr>
          </w:tbl>
          <w:p w:rsidR="007908C3" w:rsidRPr="007908C3" w:rsidRDefault="007908C3" w:rsidP="007908C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73B6" w:rsidRPr="007908C3" w:rsidRDefault="00D973B6">
      <w:pPr>
        <w:rPr>
          <w:rFonts w:hint="cs"/>
          <w:lang w:bidi="ar-JO"/>
        </w:rPr>
      </w:pPr>
    </w:p>
    <w:sectPr w:rsidR="00D973B6" w:rsidRPr="007908C3" w:rsidSect="00D973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8C3"/>
    <w:rsid w:val="007908C3"/>
    <w:rsid w:val="00D973B6"/>
    <w:rsid w:val="00E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4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08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08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908C3"/>
  </w:style>
  <w:style w:type="paragraph" w:styleId="HTMLPreformatted">
    <w:name w:val="HTML Preformatted"/>
    <w:basedOn w:val="Normal"/>
    <w:link w:val="HTMLPreformattedChar"/>
    <w:uiPriority w:val="99"/>
    <w:unhideWhenUsed/>
    <w:rsid w:val="00790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08C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gif"/><Relationship Id="rId18" Type="http://schemas.openxmlformats.org/officeDocument/2006/relationships/hyperlink" Target="http://www.lob.gov.jo/ui/contracts/index.jsp" TargetMode="External"/><Relationship Id="rId26" Type="http://schemas.openxmlformats.org/officeDocument/2006/relationships/image" Target="media/image17.gif"/><Relationship Id="rId39" Type="http://schemas.openxmlformats.org/officeDocument/2006/relationships/hyperlink" Target="http://www.lob.gov.jo/ui/constitution/index.js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ob.gov.jo/ui/bylaws/index.jsp" TargetMode="External"/><Relationship Id="rId34" Type="http://schemas.openxmlformats.org/officeDocument/2006/relationships/hyperlink" Target="http://www.lob.gov.jo/ui/laws/principlesarticle_descr.jsp?no=8&amp;year=1941&amp;article_no=4&amp;article_no_s=0" TargetMode="External"/><Relationship Id="rId42" Type="http://schemas.openxmlformats.org/officeDocument/2006/relationships/hyperlink" Target="http://www.lob.gov.jo/ui/contracts/index.jsp" TargetMode="External"/><Relationship Id="rId7" Type="http://schemas.openxmlformats.org/officeDocument/2006/relationships/image" Target="media/image4.gif"/><Relationship Id="rId12" Type="http://schemas.openxmlformats.org/officeDocument/2006/relationships/hyperlink" Target="http://www.lob.gov.jo/ui/discussions/index.jsp" TargetMode="External"/><Relationship Id="rId17" Type="http://schemas.openxmlformats.org/officeDocument/2006/relationships/image" Target="media/image11.gif"/><Relationship Id="rId25" Type="http://schemas.openxmlformats.org/officeDocument/2006/relationships/image" Target="media/image16.gif"/><Relationship Id="rId33" Type="http://schemas.openxmlformats.org/officeDocument/2006/relationships/hyperlink" Target="http://www.lob.gov.jo/ui/laws/principlesarticle_descr.jsp?no=8&amp;year=1941&amp;article_no=3&amp;article_no_s=0" TargetMode="External"/><Relationship Id="rId38" Type="http://schemas.openxmlformats.org/officeDocument/2006/relationships/image" Target="media/image20.gi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3.gif"/><Relationship Id="rId29" Type="http://schemas.openxmlformats.org/officeDocument/2006/relationships/hyperlink" Target="http://www.lob.gov.jo/ui/bylaws/bylaws.jsp?no=8&amp;year=1941" TargetMode="External"/><Relationship Id="rId41" Type="http://schemas.openxmlformats.org/officeDocument/2006/relationships/hyperlink" Target="http://www.lob.gov.jo/ui/bylaws/index.jsp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gif"/><Relationship Id="rId24" Type="http://schemas.openxmlformats.org/officeDocument/2006/relationships/hyperlink" Target="http://www.lob.gov.jo/ui/laws/index.jsp" TargetMode="External"/><Relationship Id="rId32" Type="http://schemas.openxmlformats.org/officeDocument/2006/relationships/image" Target="media/image19.gif"/><Relationship Id="rId37" Type="http://schemas.openxmlformats.org/officeDocument/2006/relationships/hyperlink" Target="http://www.nic.gov.jo/" TargetMode="External"/><Relationship Id="rId40" Type="http://schemas.openxmlformats.org/officeDocument/2006/relationships/hyperlink" Target="http://www.lob.gov.jo/ui/laws/index.jsp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hyperlink" Target="http://www.lob.gov.jo/ui/principles/index.jsp" TargetMode="External"/><Relationship Id="rId23" Type="http://schemas.openxmlformats.org/officeDocument/2006/relationships/image" Target="media/image15.gif"/><Relationship Id="rId28" Type="http://schemas.openxmlformats.org/officeDocument/2006/relationships/image" Target="media/image18.gif"/><Relationship Id="rId36" Type="http://schemas.openxmlformats.org/officeDocument/2006/relationships/hyperlink" Target="http://www.lob.gov.jo/ui/laws/principlesarticle_descr.jsp?no=8&amp;year=1941&amp;article_no=9&amp;article_no_s=0" TargetMode="External"/><Relationship Id="rId10" Type="http://schemas.openxmlformats.org/officeDocument/2006/relationships/hyperlink" Target="http://www.lob.gov.jo/ui/default.jsp" TargetMode="External"/><Relationship Id="rId19" Type="http://schemas.openxmlformats.org/officeDocument/2006/relationships/image" Target="media/image12.gif"/><Relationship Id="rId31" Type="http://schemas.openxmlformats.org/officeDocument/2006/relationships/hyperlink" Target="http://www.lob.gov.jo/ui/laws/print.jsp?no=8&amp;year=1941&amp;RequestLevel=1" TargetMode="External"/><Relationship Id="rId44" Type="http://schemas.openxmlformats.org/officeDocument/2006/relationships/hyperlink" Target="http://www.lob.gov.jo/ui/discussions/index.jsp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9.gif"/><Relationship Id="rId22" Type="http://schemas.openxmlformats.org/officeDocument/2006/relationships/image" Target="media/image14.gif"/><Relationship Id="rId27" Type="http://schemas.openxmlformats.org/officeDocument/2006/relationships/hyperlink" Target="http://www.lob.gov.jo/ui/constitution/index.jsp" TargetMode="External"/><Relationship Id="rId30" Type="http://schemas.openxmlformats.org/officeDocument/2006/relationships/hyperlink" Target="http://www.lob.gov.jo/ui/laws/general_law.jsp?no=8&amp;year=1941&amp;mod=0" TargetMode="External"/><Relationship Id="rId35" Type="http://schemas.openxmlformats.org/officeDocument/2006/relationships/hyperlink" Target="http://www.lob.gov.jo/ui/laws/principlesarticle_descr.jsp?no=8&amp;year=1941&amp;article_no=6&amp;article_no_s=0" TargetMode="External"/><Relationship Id="rId43" Type="http://schemas.openxmlformats.org/officeDocument/2006/relationships/hyperlink" Target="http://www.lob.gov.jo/ui/principles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1762</Words>
  <Characters>10046</Characters>
  <Application>Microsoft Office Word</Application>
  <DocSecurity>0</DocSecurity>
  <Lines>83</Lines>
  <Paragraphs>23</Paragraphs>
  <ScaleCrop>false</ScaleCrop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2012-05-24T12:08:00Z</dcterms:created>
  <dcterms:modified xsi:type="dcterms:W3CDTF">2012-05-24T12:14:00Z</dcterms:modified>
</cp:coreProperties>
</file>