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510"/>
        </w:tabs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510"/>
        </w:tabs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ab/>
      </w:r>
      <w:r w:rsidDel="00000000" w:rsidR="00000000" w:rsidRPr="00000000">
        <w:rPr>
          <w:b w:val="1"/>
          <w:sz w:val="32"/>
          <w:szCs w:val="32"/>
          <w:rtl w:val="1"/>
        </w:rPr>
        <w:t xml:space="preserve">التاريخ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: 18/09/2019</w:t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نتائج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استطلاع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رأي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الأردنيين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حول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الأزمة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الحكومة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والمعلمين</w:t>
      </w:r>
    </w:p>
    <w:p w:rsidR="00000000" w:rsidDel="00000000" w:rsidP="00000000" w:rsidRDefault="00000000" w:rsidRPr="00000000" w14:paraId="0000000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أجرى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لاستطلاعات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الرأي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14-16 </w:t>
      </w:r>
      <w:r w:rsidDel="00000000" w:rsidR="00000000" w:rsidRPr="00000000">
        <w:rPr>
          <w:sz w:val="28"/>
          <w:szCs w:val="28"/>
          <w:rtl w:val="1"/>
        </w:rPr>
        <w:t xml:space="preserve">أيلول</w:t>
      </w:r>
      <w:r w:rsidDel="00000000" w:rsidR="00000000" w:rsidRPr="00000000">
        <w:rPr>
          <w:sz w:val="28"/>
          <w:szCs w:val="28"/>
          <w:rtl w:val="1"/>
        </w:rPr>
        <w:t xml:space="preserve">/</w:t>
      </w:r>
      <w:r w:rsidDel="00000000" w:rsidR="00000000" w:rsidRPr="00000000">
        <w:rPr>
          <w:sz w:val="28"/>
          <w:szCs w:val="28"/>
          <w:rtl w:val="1"/>
        </w:rPr>
        <w:t xml:space="preserve">سبتمبر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استطلاعا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للرأي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إضراب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نقابتهم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والحكومة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الأردنية</w:t>
      </w:r>
      <w:r w:rsidDel="00000000" w:rsidR="00000000" w:rsidRPr="00000000">
        <w:rPr>
          <w:sz w:val="28"/>
          <w:szCs w:val="28"/>
          <w:rtl w:val="1"/>
        </w:rPr>
        <w:t xml:space="preserve">؛ </w:t>
      </w:r>
      <w:r w:rsidDel="00000000" w:rsidR="00000000" w:rsidRPr="00000000">
        <w:rPr>
          <w:sz w:val="28"/>
          <w:szCs w:val="28"/>
          <w:rtl w:val="1"/>
        </w:rPr>
        <w:t xml:space="preserve">بهدف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استكشاف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المتابعة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وتطوراتها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والمواقف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المختلفة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والسبل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المقترحة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للخروج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منها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0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الإطار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يأتي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الأزمة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ضمن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مشاريع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التمويل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الذاتي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ينفذها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مركز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لاستطلاعات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الرأي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بهدف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خدمة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وقياس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الرأي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مختلف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القضايا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اعتمد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استبيانين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متزامنين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ومتوازيين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ممثلة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هاتفيا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وبلغ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عددها</w:t>
      </w:r>
      <w:r w:rsidDel="00000000" w:rsidR="00000000" w:rsidRPr="00000000">
        <w:rPr>
          <w:sz w:val="28"/>
          <w:szCs w:val="28"/>
          <w:rtl w:val="1"/>
        </w:rPr>
        <w:t xml:space="preserve"> 480 </w:t>
      </w:r>
      <w:r w:rsidDel="00000000" w:rsidR="00000000" w:rsidRPr="00000000">
        <w:rPr>
          <w:sz w:val="28"/>
          <w:szCs w:val="28"/>
          <w:rtl w:val="1"/>
        </w:rPr>
        <w:t xml:space="preserve">شخصا</w:t>
      </w:r>
      <w:r w:rsidDel="00000000" w:rsidR="00000000" w:rsidRPr="00000000">
        <w:rPr>
          <w:sz w:val="28"/>
          <w:szCs w:val="28"/>
          <w:rtl w:val="1"/>
        </w:rPr>
        <w:t xml:space="preserve">،  </w:t>
      </w:r>
      <w:r w:rsidDel="00000000" w:rsidR="00000000" w:rsidRPr="00000000">
        <w:rPr>
          <w:sz w:val="28"/>
          <w:szCs w:val="28"/>
          <w:rtl w:val="1"/>
        </w:rPr>
        <w:t xml:space="preserve">والذين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اختيارهم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هواتف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المستجيبين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بطريقة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عشوائية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منتظمة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بالاستناد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ميدانية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منازل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إلكتروني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مفتوح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للجمهور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رابط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منشور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وسائل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التواصل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الاجتماعي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عدد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المشاركين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5639 </w:t>
      </w:r>
      <w:r w:rsidDel="00000000" w:rsidR="00000000" w:rsidRPr="00000000">
        <w:rPr>
          <w:sz w:val="28"/>
          <w:szCs w:val="28"/>
          <w:rtl w:val="1"/>
        </w:rPr>
        <w:t xml:space="preserve">شخصا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17 </w:t>
      </w:r>
      <w:r w:rsidDel="00000000" w:rsidR="00000000" w:rsidRPr="00000000">
        <w:rPr>
          <w:sz w:val="28"/>
          <w:szCs w:val="28"/>
          <w:rtl w:val="1"/>
        </w:rPr>
        <w:t xml:space="preserve">سبتمبر</w:t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أيلول</w:t>
      </w:r>
      <w:r w:rsidDel="00000000" w:rsidR="00000000" w:rsidRPr="00000000">
        <w:rPr>
          <w:sz w:val="28"/>
          <w:szCs w:val="28"/>
          <w:rtl w:val="1"/>
        </w:rPr>
        <w:t xml:space="preserve"> 2019.</w:t>
      </w:r>
    </w:p>
    <w:p w:rsidR="00000000" w:rsidDel="00000000" w:rsidP="00000000" w:rsidRDefault="00000000" w:rsidRPr="00000000" w14:paraId="0000000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وسيتم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الهاتفية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سابقا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استنادا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منضبطة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وأوسع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تمثيلا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لشرائح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المجتمع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مستوى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بهامش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حرية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بالنظر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لطبيعة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وتنوعها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وكونها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للتعبير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حساسيات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موانع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نشرها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وسائل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الإعلام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التقليدية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أبرز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نتائج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استطلاع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رأي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الأردنيين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حول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الأزمة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الحكومة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والمعلمين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jc w:val="center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(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العينة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الهاتفية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الممثلة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والعينة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الالكترونية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)</w:t>
      </w:r>
    </w:p>
    <w:p w:rsidR="00000000" w:rsidDel="00000000" w:rsidP="00000000" w:rsidRDefault="00000000" w:rsidRPr="00000000" w14:paraId="00000012">
      <w:pPr>
        <w:bidi w:val="1"/>
        <w:rPr>
          <w:b w:val="1"/>
          <w:color w:val="00b0f0"/>
          <w:sz w:val="36"/>
          <w:szCs w:val="36"/>
        </w:rPr>
      </w:pP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أ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)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ثلاثة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أرباع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الأردنيين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متابعون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للأزمة</w:t>
      </w:r>
    </w:p>
    <w:p w:rsidR="00000000" w:rsidDel="00000000" w:rsidP="00000000" w:rsidRDefault="00000000" w:rsidRPr="00000000" w14:paraId="00000013">
      <w:pPr>
        <w:bidi w:val="1"/>
        <w:jc w:val="both"/>
        <w:rPr>
          <w:color w:val="00b0f0"/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المتابعين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للازمة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75.7%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متابع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جدا</w:t>
      </w:r>
      <w:r w:rsidDel="00000000" w:rsidR="00000000" w:rsidRPr="00000000">
        <w:rPr>
          <w:sz w:val="28"/>
          <w:szCs w:val="28"/>
          <w:rtl w:val="1"/>
        </w:rPr>
        <w:t xml:space="preserve">ً 68.4%، </w:t>
      </w:r>
      <w:r w:rsidDel="00000000" w:rsidR="00000000" w:rsidRPr="00000000">
        <w:rPr>
          <w:sz w:val="28"/>
          <w:szCs w:val="28"/>
          <w:rtl w:val="1"/>
        </w:rPr>
        <w:t xml:space="preserve">متابع</w:t>
      </w:r>
      <w:r w:rsidDel="00000000" w:rsidR="00000000" w:rsidRPr="00000000">
        <w:rPr>
          <w:sz w:val="28"/>
          <w:szCs w:val="28"/>
          <w:rtl w:val="1"/>
        </w:rPr>
        <w:t xml:space="preserve"> 7.3%)،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نسبة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تعكس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اهتمام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المجتمع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الأردني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بالأزمة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وترقبه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لحل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ما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للخروج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منها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ولكنها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نظيرتها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99.1% (</w:t>
      </w:r>
      <w:r w:rsidDel="00000000" w:rsidR="00000000" w:rsidRPr="00000000">
        <w:rPr>
          <w:sz w:val="28"/>
          <w:szCs w:val="28"/>
          <w:rtl w:val="1"/>
        </w:rPr>
        <w:t xml:space="preserve">متابع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جدا</w:t>
      </w:r>
      <w:r w:rsidDel="00000000" w:rsidR="00000000" w:rsidRPr="00000000">
        <w:rPr>
          <w:sz w:val="28"/>
          <w:szCs w:val="28"/>
          <w:rtl w:val="1"/>
        </w:rPr>
        <w:t xml:space="preserve">ً 85.8%، </w:t>
      </w:r>
      <w:r w:rsidDel="00000000" w:rsidR="00000000" w:rsidRPr="00000000">
        <w:rPr>
          <w:sz w:val="28"/>
          <w:szCs w:val="28"/>
          <w:rtl w:val="1"/>
        </w:rPr>
        <w:t xml:space="preserve">متابع</w:t>
      </w:r>
      <w:r w:rsidDel="00000000" w:rsidR="00000000" w:rsidRPr="00000000">
        <w:rPr>
          <w:sz w:val="28"/>
          <w:szCs w:val="28"/>
          <w:rtl w:val="1"/>
        </w:rPr>
        <w:t xml:space="preserve"> 13.3%).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808407" cy="3435308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8407" cy="343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both"/>
        <w:rPr>
          <w:color w:val="00b0f0"/>
          <w:sz w:val="36"/>
          <w:szCs w:val="36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jc w:val="both"/>
        <w:rPr>
          <w:color w:val="00b0f0"/>
          <w:sz w:val="36"/>
          <w:szCs w:val="36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both"/>
        <w:rPr>
          <w:color w:val="00b0f0"/>
          <w:sz w:val="36"/>
          <w:szCs w:val="36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both"/>
        <w:rPr>
          <w:color w:val="00b0f0"/>
          <w:sz w:val="36"/>
          <w:szCs w:val="36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jc w:val="both"/>
        <w:rPr>
          <w:b w:val="1"/>
          <w:color w:val="00b0f0"/>
          <w:sz w:val="36"/>
          <w:szCs w:val="36"/>
        </w:rPr>
      </w:pP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ب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)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ثلثا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الشارع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الأردني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يعارضون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الإجراءات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الحكومية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فض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اعتصام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المعلمين</w:t>
      </w:r>
    </w:p>
    <w:p w:rsidR="00000000" w:rsidDel="00000000" w:rsidP="00000000" w:rsidRDefault="00000000" w:rsidRPr="00000000" w14:paraId="0000001B">
      <w:pPr>
        <w:bidi w:val="1"/>
        <w:jc w:val="both"/>
        <w:rPr>
          <w:color w:val="00b0f0"/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وصلت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المعارضة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لإجراءات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الحكومة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اعتصام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الدوار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الرابع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الثلثين</w:t>
      </w:r>
      <w:r w:rsidDel="00000000" w:rsidR="00000000" w:rsidRPr="00000000">
        <w:rPr>
          <w:color w:val="00b0f0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66.2% (</w:t>
      </w:r>
      <w:r w:rsidDel="00000000" w:rsidR="00000000" w:rsidRPr="00000000">
        <w:rPr>
          <w:sz w:val="28"/>
          <w:szCs w:val="28"/>
          <w:rtl w:val="1"/>
        </w:rPr>
        <w:t xml:space="preserve">معارض</w:t>
      </w:r>
      <w:r w:rsidDel="00000000" w:rsidR="00000000" w:rsidRPr="00000000">
        <w:rPr>
          <w:sz w:val="28"/>
          <w:szCs w:val="28"/>
          <w:rtl w:val="1"/>
        </w:rPr>
        <w:t xml:space="preserve"> 18.4%، </w:t>
      </w:r>
      <w:r w:rsidDel="00000000" w:rsidR="00000000" w:rsidRPr="00000000">
        <w:rPr>
          <w:sz w:val="28"/>
          <w:szCs w:val="28"/>
          <w:rtl w:val="1"/>
        </w:rPr>
        <w:t xml:space="preserve">معارض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بشدة</w:t>
      </w:r>
      <w:r w:rsidDel="00000000" w:rsidR="00000000" w:rsidRPr="00000000">
        <w:rPr>
          <w:sz w:val="28"/>
          <w:szCs w:val="28"/>
          <w:rtl w:val="1"/>
        </w:rPr>
        <w:t xml:space="preserve"> 47.8%)، </w:t>
      </w:r>
      <w:r w:rsidDel="00000000" w:rsidR="00000000" w:rsidRPr="00000000">
        <w:rPr>
          <w:sz w:val="28"/>
          <w:szCs w:val="28"/>
          <w:rtl w:val="1"/>
        </w:rPr>
        <w:t xml:space="preserve">وهي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كبيرة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ومعتبرة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لكنها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نظيرتها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وصلت</w:t>
      </w:r>
      <w:r w:rsidDel="00000000" w:rsidR="00000000" w:rsidRPr="00000000">
        <w:rPr>
          <w:sz w:val="28"/>
          <w:szCs w:val="28"/>
          <w:rtl w:val="1"/>
        </w:rPr>
        <w:t xml:space="preserve"> 94.2% (</w:t>
      </w:r>
      <w:r w:rsidDel="00000000" w:rsidR="00000000" w:rsidRPr="00000000">
        <w:rPr>
          <w:sz w:val="28"/>
          <w:szCs w:val="28"/>
          <w:rtl w:val="1"/>
        </w:rPr>
        <w:t xml:space="preserve">معارض</w:t>
      </w:r>
      <w:r w:rsidDel="00000000" w:rsidR="00000000" w:rsidRPr="00000000">
        <w:rPr>
          <w:sz w:val="28"/>
          <w:szCs w:val="28"/>
          <w:rtl w:val="1"/>
        </w:rPr>
        <w:t xml:space="preserve"> 6.1%، </w:t>
      </w:r>
      <w:r w:rsidDel="00000000" w:rsidR="00000000" w:rsidRPr="00000000">
        <w:rPr>
          <w:sz w:val="28"/>
          <w:szCs w:val="28"/>
          <w:rtl w:val="1"/>
        </w:rPr>
        <w:t xml:space="preserve">معارض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جدا</w:t>
      </w:r>
      <w:r w:rsidDel="00000000" w:rsidR="00000000" w:rsidRPr="00000000">
        <w:rPr>
          <w:sz w:val="28"/>
          <w:szCs w:val="28"/>
          <w:rtl w:val="1"/>
        </w:rPr>
        <w:t xml:space="preserve">ً 88.1%).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6229350" cy="3684270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684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jc w:val="both"/>
        <w:rPr>
          <w:b w:val="1"/>
          <w:color w:val="00b0f0"/>
          <w:sz w:val="36"/>
          <w:szCs w:val="36"/>
        </w:rPr>
      </w:pP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ج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)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الأردنيون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يوجهون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اللوم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بشكل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أكبر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الأزمة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الأطراف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الحكومية</w:t>
      </w:r>
    </w:p>
    <w:p w:rsidR="00000000" w:rsidDel="00000000" w:rsidP="00000000" w:rsidRDefault="00000000" w:rsidRPr="00000000" w14:paraId="0000002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أربع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خيارات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قدمها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الاستطلاع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حول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يراه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المستجيب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ملاما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أكثر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غيره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الأزمة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وجهوا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للأطراف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الحكومية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63.0%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الداخلية</w:t>
      </w:r>
      <w:r w:rsidDel="00000000" w:rsidR="00000000" w:rsidRPr="00000000">
        <w:rPr>
          <w:sz w:val="28"/>
          <w:szCs w:val="28"/>
          <w:rtl w:val="1"/>
        </w:rPr>
        <w:t xml:space="preserve"> 34.3%، </w:t>
      </w:r>
      <w:r w:rsidDel="00000000" w:rsidR="00000000" w:rsidRPr="00000000">
        <w:rPr>
          <w:sz w:val="28"/>
          <w:szCs w:val="28"/>
          <w:rtl w:val="1"/>
        </w:rPr>
        <w:t xml:space="preserve">التربية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والتعليم</w:t>
      </w:r>
      <w:r w:rsidDel="00000000" w:rsidR="00000000" w:rsidRPr="00000000">
        <w:rPr>
          <w:sz w:val="28"/>
          <w:szCs w:val="28"/>
          <w:rtl w:val="1"/>
        </w:rPr>
        <w:t xml:space="preserve"> 28.7%)،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ارتفعت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94.5%.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6229350" cy="368427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684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both"/>
        <w:rPr>
          <w:b w:val="1"/>
          <w:color w:val="00b0f0"/>
          <w:sz w:val="36"/>
          <w:szCs w:val="36"/>
        </w:rPr>
      </w:pP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د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)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تميل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العينة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الممثلة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بشكل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أكبر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رفض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الإضراب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العينة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الإلكترونية</w:t>
      </w:r>
    </w:p>
    <w:p w:rsidR="00000000" w:rsidDel="00000000" w:rsidP="00000000" w:rsidRDefault="00000000" w:rsidRPr="00000000" w14:paraId="0000003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تعكس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النتائج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الشارع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الأردني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لمعارضة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بالإضراب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الاعتصام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للمطالبة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بالعلاوة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المالية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حيث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بلغت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التأييد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40.8%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مؤيد</w:t>
      </w:r>
      <w:r w:rsidDel="00000000" w:rsidR="00000000" w:rsidRPr="00000000">
        <w:rPr>
          <w:sz w:val="28"/>
          <w:szCs w:val="28"/>
          <w:rtl w:val="1"/>
        </w:rPr>
        <w:t xml:space="preserve"> 11.9%، </w:t>
      </w:r>
      <w:r w:rsidDel="00000000" w:rsidR="00000000" w:rsidRPr="00000000">
        <w:rPr>
          <w:sz w:val="28"/>
          <w:szCs w:val="28"/>
          <w:rtl w:val="1"/>
        </w:rPr>
        <w:t xml:space="preserve">مؤيد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بشدة</w:t>
      </w:r>
      <w:r w:rsidDel="00000000" w:rsidR="00000000" w:rsidRPr="00000000">
        <w:rPr>
          <w:sz w:val="28"/>
          <w:szCs w:val="28"/>
          <w:rtl w:val="1"/>
        </w:rPr>
        <w:t xml:space="preserve"> 28.9%)،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ارتفعت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التأييد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لتصل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93.1% 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(</w:t>
      </w:r>
      <w:r w:rsidDel="00000000" w:rsidR="00000000" w:rsidRPr="00000000">
        <w:rPr>
          <w:sz w:val="28"/>
          <w:szCs w:val="28"/>
          <w:rtl w:val="1"/>
        </w:rPr>
        <w:t xml:space="preserve">مؤيد</w:t>
      </w:r>
      <w:r w:rsidDel="00000000" w:rsidR="00000000" w:rsidRPr="00000000">
        <w:rPr>
          <w:sz w:val="28"/>
          <w:szCs w:val="28"/>
          <w:rtl w:val="1"/>
        </w:rPr>
        <w:t xml:space="preserve"> 9.9%، </w:t>
      </w:r>
      <w:r w:rsidDel="00000000" w:rsidR="00000000" w:rsidRPr="00000000">
        <w:rPr>
          <w:sz w:val="28"/>
          <w:szCs w:val="28"/>
          <w:rtl w:val="1"/>
        </w:rPr>
        <w:t xml:space="preserve">مؤيد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بشدة</w:t>
      </w:r>
      <w:r w:rsidDel="00000000" w:rsidR="00000000" w:rsidRPr="00000000">
        <w:rPr>
          <w:sz w:val="28"/>
          <w:szCs w:val="28"/>
          <w:rtl w:val="1"/>
        </w:rPr>
        <w:t xml:space="preserve"> 83.2%). </w:t>
      </w:r>
    </w:p>
    <w:p w:rsidR="00000000" w:rsidDel="00000000" w:rsidP="00000000" w:rsidRDefault="00000000" w:rsidRPr="00000000" w14:paraId="0000003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6229350" cy="3684270"/>
            <wp:effectExtent b="0" l="0" r="0" t="0"/>
            <wp:docPr id="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6842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jc w:val="both"/>
        <w:rPr>
          <w:color w:val="00b0f0"/>
          <w:sz w:val="36"/>
          <w:szCs w:val="36"/>
        </w:rPr>
      </w:pPr>
      <w:r w:rsidDel="00000000" w:rsidR="00000000" w:rsidRPr="00000000">
        <w:rPr>
          <w:color w:val="00b0f0"/>
          <w:sz w:val="36"/>
          <w:szCs w:val="36"/>
          <w:rtl w:val="1"/>
        </w:rPr>
        <w:t xml:space="preserve">هـ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)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ثلثا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العينة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الهاتفية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الممثلة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يعارضون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استمرار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إضراب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المعلمين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حال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عدم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استجابة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الحكومة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لمطالبهم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عكس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رأي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العينة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الالكترونية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عبر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ثلث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المستجيبين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35.1%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تأييدهم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لاستمرار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إضراب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المعلمين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لحين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استجابة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الحكومة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لمطالبهم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بينما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قفزت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أضعاف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بنسبة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90.9%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5211032" cy="3081998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11032" cy="30819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jc w:val="both"/>
        <w:rPr>
          <w:b w:val="1"/>
          <w:color w:val="00b0f0"/>
          <w:sz w:val="36"/>
          <w:szCs w:val="36"/>
        </w:rPr>
      </w:pP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)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أكثر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نصف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الشارع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الأردني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يؤيد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حلا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ً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توافقيا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ً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مرحليا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ً </w:t>
      </w:r>
      <w:r w:rsidDel="00000000" w:rsidR="00000000" w:rsidRPr="00000000">
        <w:rPr>
          <w:b w:val="1"/>
          <w:color w:val="00b0f0"/>
          <w:sz w:val="36"/>
          <w:szCs w:val="36"/>
          <w:rtl w:val="1"/>
        </w:rPr>
        <w:t xml:space="preserve">للأزمة</w:t>
      </w:r>
    </w:p>
    <w:p w:rsidR="00000000" w:rsidDel="00000000" w:rsidP="00000000" w:rsidRDefault="00000000" w:rsidRPr="00000000" w14:paraId="0000004C">
      <w:pPr>
        <w:bidi w:val="1"/>
        <w:jc w:val="both"/>
        <w:rPr>
          <w:color w:val="00b0f0"/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طرح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الاستطلاع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المستجيبين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خمس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خيارات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لمعرفة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الأمثل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للأزمة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نظرهم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اتاحة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خيار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الإجابات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الحرة</w:t>
      </w:r>
      <w:r w:rsidDel="00000000" w:rsidR="00000000" w:rsidRPr="00000000">
        <w:rPr>
          <w:sz w:val="28"/>
          <w:szCs w:val="28"/>
          <w:rtl w:val="1"/>
        </w:rPr>
        <w:t xml:space="preserve">، </w:t>
      </w:r>
      <w:r w:rsidDel="00000000" w:rsidR="00000000" w:rsidRPr="00000000">
        <w:rPr>
          <w:sz w:val="28"/>
          <w:szCs w:val="28"/>
          <w:rtl w:val="1"/>
        </w:rPr>
        <w:t xml:space="preserve">وكانت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النتيجة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61.0% </w:t>
      </w:r>
      <w:r w:rsidDel="00000000" w:rsidR="00000000" w:rsidRPr="00000000">
        <w:rPr>
          <w:sz w:val="28"/>
          <w:szCs w:val="28"/>
          <w:rtl w:val="1"/>
        </w:rPr>
        <w:t xml:space="preserve">يؤيدون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توافقيا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مرحليا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للأزمة</w:t>
      </w:r>
      <w:r w:rsidDel="00000000" w:rsidR="00000000" w:rsidRPr="00000000">
        <w:rPr>
          <w:sz w:val="28"/>
          <w:szCs w:val="28"/>
          <w:rtl w:val="1"/>
        </w:rPr>
        <w:t xml:space="preserve"> (39.0% </w:t>
      </w:r>
      <w:r w:rsidDel="00000000" w:rsidR="00000000" w:rsidRPr="00000000">
        <w:rPr>
          <w:sz w:val="28"/>
          <w:szCs w:val="28"/>
          <w:rtl w:val="1"/>
        </w:rPr>
        <w:t xml:space="preserve">تجزئة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دفعات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تتجاوز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ماليين</w:t>
      </w:r>
      <w:r w:rsidDel="00000000" w:rsidR="00000000" w:rsidRPr="00000000">
        <w:rPr>
          <w:sz w:val="28"/>
          <w:szCs w:val="28"/>
          <w:rtl w:val="1"/>
        </w:rPr>
        <w:t xml:space="preserve">، 22.0% </w:t>
      </w:r>
      <w:r w:rsidDel="00000000" w:rsidR="00000000" w:rsidRPr="00000000">
        <w:rPr>
          <w:sz w:val="28"/>
          <w:szCs w:val="28"/>
          <w:rtl w:val="1"/>
        </w:rPr>
        <w:t xml:space="preserve">منح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جزء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مقابل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إشراك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النقابة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والتربوي</w:t>
      </w:r>
      <w:r w:rsidDel="00000000" w:rsidR="00000000" w:rsidRPr="00000000">
        <w:rPr>
          <w:sz w:val="28"/>
          <w:szCs w:val="28"/>
          <w:rtl w:val="1"/>
        </w:rPr>
        <w:t xml:space="preserve">)، </w:t>
      </w:r>
      <w:r w:rsidDel="00000000" w:rsidR="00000000" w:rsidRPr="00000000">
        <w:rPr>
          <w:sz w:val="28"/>
          <w:szCs w:val="28"/>
          <w:rtl w:val="1"/>
        </w:rPr>
        <w:t xml:space="preserve">خلافا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لذلك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color w:val="00b0f0"/>
          <w:sz w:val="28"/>
          <w:szCs w:val="28"/>
          <w:rtl w:val="0"/>
        </w:rPr>
        <w:t xml:space="preserve">79.6%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الإلكترونية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يقوم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العلاوة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الاستمرار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الإضراب</w:t>
      </w:r>
      <w:r w:rsidDel="00000000" w:rsidR="00000000" w:rsidRPr="00000000">
        <w:rPr>
          <w:sz w:val="28"/>
          <w:szCs w:val="28"/>
          <w:rtl w:val="1"/>
        </w:rPr>
        <w:t xml:space="preserve"> 56.1%، </w:t>
      </w:r>
      <w:r w:rsidDel="00000000" w:rsidR="00000000" w:rsidRPr="00000000">
        <w:rPr>
          <w:sz w:val="28"/>
          <w:szCs w:val="28"/>
          <w:rtl w:val="1"/>
        </w:rPr>
        <w:t xml:space="preserve">تجزئة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العلاوة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دفعات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تتجاوز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ماليين</w:t>
      </w:r>
      <w:r w:rsidDel="00000000" w:rsidR="00000000" w:rsidRPr="00000000">
        <w:rPr>
          <w:sz w:val="28"/>
          <w:szCs w:val="28"/>
          <w:rtl w:val="1"/>
        </w:rPr>
        <w:t xml:space="preserve">)، </w:t>
      </w:r>
      <w:r w:rsidDel="00000000" w:rsidR="00000000" w:rsidRPr="00000000">
        <w:rPr>
          <w:sz w:val="28"/>
          <w:szCs w:val="28"/>
          <w:rtl w:val="1"/>
        </w:rPr>
        <w:t xml:space="preserve">وهذا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ورغم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التعارض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الواضح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الخطين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تبقى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بينهما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مساحة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مشتركة</w:t>
      </w:r>
      <w:r w:rsidDel="00000000" w:rsidR="00000000" w:rsidRPr="00000000">
        <w:rPr>
          <w:sz w:val="28"/>
          <w:szCs w:val="28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0" distT="0" distL="0" distR="0">
            <wp:extent cx="4916259" cy="2907659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6259" cy="29076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pgSz w:h="15840" w:w="12240"/>
      <w:pgMar w:bottom="2070" w:top="1440" w:left="1440" w:right="99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4.jpg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jpg"/><Relationship Id="rId14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3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