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bidi w:val="1"/>
        <w:jc w:val="center"/>
        <w:rPr>
          <w:rFonts w:ascii="Open Sans" w:cs="Open Sans" w:eastAsia="Open Sans" w:hAnsi="Open San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1762125" cy="1762125"/>
            <wp:effectExtent b="0" l="0" r="0" t="0"/>
            <wp:docPr descr="Description: MESC Logo" id="1" name="image1.jpg"/>
            <a:graphic>
              <a:graphicData uri="http://schemas.openxmlformats.org/drawingml/2006/picture">
                <pic:pic>
                  <pic:nvPicPr>
                    <pic:cNvPr descr="Description: MESC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مركز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دراسات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الشرق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الأوسط</w:t>
      </w:r>
      <w:r w:rsidDel="00000000" w:rsidR="00000000" w:rsidRPr="00000000">
        <w:rPr>
          <w:sz w:val="40"/>
          <w:szCs w:val="40"/>
          <w:rtl w:val="1"/>
        </w:rPr>
        <w:t xml:space="preserve">– </w:t>
      </w:r>
      <w:r w:rsidDel="00000000" w:rsidR="00000000" w:rsidRPr="00000000">
        <w:rPr>
          <w:sz w:val="40"/>
          <w:szCs w:val="40"/>
          <w:rtl w:val="1"/>
        </w:rPr>
        <w:t xml:space="preserve">الأردن</w:t>
      </w:r>
    </w:p>
    <w:p w:rsidR="00000000" w:rsidDel="00000000" w:rsidP="00000000" w:rsidRDefault="00000000" w:rsidRPr="00000000" w14:paraId="00000003">
      <w:pPr>
        <w:widowControl w:val="0"/>
        <w:bidi w:val="1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jc w:val="right"/>
        <w:rPr>
          <w:color w:val="00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jc w:val="center"/>
        <w:rPr>
          <w:rFonts w:ascii="Noto Sans Symbols" w:cs="Noto Sans Symbols" w:eastAsia="Noto Sans Symbols" w:hAnsi="Noto Sans Symbols"/>
          <w:color w:val="700000"/>
          <w:sz w:val="60"/>
          <w:szCs w:val="6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مقترحات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إصلاحات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سياسية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أردنية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60"/>
          <w:szCs w:val="60"/>
          <w:rtl w:val="1"/>
        </w:rPr>
        <w:t xml:space="preserve"> 2019−2020</w:t>
      </w:r>
    </w:p>
    <w:p w:rsidR="00000000" w:rsidDel="00000000" w:rsidP="00000000" w:rsidRDefault="00000000" w:rsidRPr="00000000" w14:paraId="00000006">
      <w:pPr>
        <w:widowControl w:val="0"/>
        <w:bidi w:val="1"/>
        <w:jc w:val="center"/>
        <w:rPr>
          <w:rFonts w:ascii="Noto Sans Symbols" w:cs="Noto Sans Symbols" w:eastAsia="Noto Sans Symbols" w:hAnsi="Noto Sans Symbols"/>
          <w:color w:val="0070c0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jc w:val="center"/>
        <w:rPr>
          <w:rFonts w:ascii="Noto Sans Symbols" w:cs="Noto Sans Symbols" w:eastAsia="Noto Sans Symbols" w:hAnsi="Noto Sans Symbols"/>
          <w:sz w:val="60"/>
          <w:szCs w:val="6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60"/>
          <w:szCs w:val="60"/>
          <w:rtl w:val="0"/>
        </w:rPr>
        <w:t xml:space="preserve">2019</w:t>
      </w:r>
    </w:p>
    <w:p w:rsidR="00000000" w:rsidDel="00000000" w:rsidP="00000000" w:rsidRDefault="00000000" w:rsidRPr="00000000" w14:paraId="00000008">
      <w:pPr>
        <w:rPr>
          <w:rFonts w:ascii="Noto Sans Symbols" w:cs="Noto Sans Symbols" w:eastAsia="Noto Sans Symbols" w:hAnsi="Noto Sans Symbols"/>
          <w:color w:val="7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bidi w:val="1"/>
        <w:spacing w:after="0" w:line="240" w:lineRule="auto"/>
        <w:jc w:val="center"/>
        <w:rPr>
          <w:rFonts w:ascii="Noto Sans Symbols" w:cs="Noto Sans Symbols" w:eastAsia="Noto Sans Symbols" w:hAnsi="Noto Sans Symbols"/>
          <w:color w:val="700000"/>
          <w:sz w:val="36"/>
          <w:szCs w:val="36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مقترحات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إصلاحات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سياسية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1"/>
        </w:rPr>
        <w:t xml:space="preserve">أردنية</w:t>
      </w:r>
    </w:p>
    <w:p w:rsidR="00000000" w:rsidDel="00000000" w:rsidP="00000000" w:rsidRDefault="00000000" w:rsidRPr="00000000" w14:paraId="0000000A">
      <w:pPr>
        <w:widowControl w:val="0"/>
        <w:bidi w:val="1"/>
        <w:spacing w:after="0" w:line="240" w:lineRule="auto"/>
        <w:jc w:val="center"/>
        <w:rPr>
          <w:rFonts w:ascii="Noto Sans Symbols" w:cs="Noto Sans Symbols" w:eastAsia="Noto Sans Symbols" w:hAnsi="Noto Sans Symbols"/>
          <w:color w:val="700000"/>
          <w:sz w:val="36"/>
          <w:szCs w:val="36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700000"/>
          <w:sz w:val="36"/>
          <w:szCs w:val="36"/>
          <w:rtl w:val="0"/>
        </w:rPr>
        <w:t xml:space="preserve">2019−2020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نقاشية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نخبة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والسياسيين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والنقابيين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ولمناقشة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إصلاحات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وواقعي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ولتقوية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2019-2020،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النقاشية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والشراكة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يتطلبه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ونصوصه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دستورية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وتشريعية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ومسؤولة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للتحديات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وتأسيس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للأجيال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يبش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bidi w:val="1"/>
        <w:spacing w:after="0" w:before="240" w:line="240" w:lineRule="auto"/>
        <w:jc w:val="right"/>
        <w:rPr>
          <w:rFonts w:ascii="Noto Sans Symbols" w:cs="Noto Sans Symbols" w:eastAsia="Noto Sans Symbols" w:hAnsi="Noto Sans Symbols"/>
          <w:color w:val="002060"/>
          <w:sz w:val="32"/>
          <w:szCs w:val="3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الإطار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العملي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للخطوط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للإصلاح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السياسي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الأردني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32"/>
          <w:szCs w:val="32"/>
          <w:rtl w:val="1"/>
        </w:rPr>
        <w:t xml:space="preserve"> 2019−2020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تتمثل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بالاستقرار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وتجربة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المزاج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إمكانية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والمشاريع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الطموحات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لاستكمال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المستند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1"/>
        <w:widowControl w:val="0"/>
        <w:shd w:fill="e8f5f8" w:val="clear"/>
        <w:bidi w:val="1"/>
        <w:spacing w:after="0" w:before="240" w:line="240" w:lineRule="auto"/>
        <w:jc w:val="both"/>
        <w:rPr>
          <w:rFonts w:ascii="Noto Sans Symbols" w:cs="Noto Sans Symbols" w:eastAsia="Noto Sans Symbols" w:hAnsi="Noto Sans Symbols"/>
          <w:color w:val="0070c0"/>
          <w:sz w:val="30"/>
          <w:szCs w:val="3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أول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ً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حاجة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البلاد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للإصلاح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0"/>
          <w:szCs w:val="30"/>
          <w:rtl w:val="1"/>
        </w:rPr>
        <w:t xml:space="preserve">السياسي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إصلاحات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إشكالات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وضغوط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موقفه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الفلسطينية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المجتمعية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مشاريع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النقاشية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تشريعية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والمطلوب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تتسم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0"/>
        <w:shd w:fill="e8f5f8" w:val="clear"/>
        <w:bidi w:val="1"/>
        <w:spacing w:after="0" w:before="240" w:line="240" w:lineRule="auto"/>
        <w:jc w:val="both"/>
        <w:rPr>
          <w:rFonts w:ascii="Noto Sans Symbols" w:cs="Noto Sans Symbols" w:eastAsia="Noto Sans Symbols" w:hAnsi="Noto Sans Symbols"/>
          <w:color w:val="0070c0"/>
          <w:sz w:val="32"/>
          <w:szCs w:val="3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ثاني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أولويات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الإصلاح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السياسي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البلاد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2019− 2020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الانتخابات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ويشكلان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2019-2020،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جديدين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لمعالجة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الاختلالات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والنهوض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ومقترحات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مفصلة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أبحاث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1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14" w:right="720" w:hanging="357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الانتخاب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نيابي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طموحات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الانتخابات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ائتلافات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مرشحين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حزبيين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حزبيين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قترعين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أصواتهم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دائرتهم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ديمقراطية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للتمثيل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الديمغرافي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والمناطقي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والمساواة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يتطلبه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دستوري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والحصانة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1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714" w:right="720" w:hanging="357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البرلمانية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مستلزمات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رأسها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وحماية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وأعضائها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وتشكيلها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نشاطاتها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(16).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لتفعيل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الانتخابات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البرلماني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3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متزامن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الناظمة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الحزبية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3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نظامها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توجهاتها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فحص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النافذ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3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كأعداد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منتسبيه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فروعه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وانتشاره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المحافظات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نتائجه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الانتخابات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3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إلغاء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يعالجها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57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برلمانية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1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714" w:right="720" w:hanging="357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توصيات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الأردنيين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وحرياتهم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وضمانها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مطابقة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المواطنة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والانتماء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للانتماءات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المجتمعي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ومراكز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1"/>
        <w:widowControl w:val="0"/>
        <w:shd w:fill="e8f5f8" w:val="clear"/>
        <w:bidi w:val="1"/>
        <w:spacing w:after="0" w:before="240" w:line="240" w:lineRule="auto"/>
        <w:jc w:val="both"/>
        <w:rPr>
          <w:rFonts w:ascii="Noto Sans Symbols" w:cs="Noto Sans Symbols" w:eastAsia="Noto Sans Symbols" w:hAnsi="Noto Sans Symbols"/>
          <w:color w:val="0070c0"/>
          <w:sz w:val="32"/>
          <w:szCs w:val="3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ثالث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آليات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لتفعيل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الإصلاح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السياسي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البلاد</w:t>
      </w:r>
      <w:r w:rsidDel="00000000" w:rsidR="00000000" w:rsidRPr="00000000">
        <w:rPr>
          <w:rFonts w:ascii="Noto Sans Symbols" w:cs="Noto Sans Symbols" w:eastAsia="Noto Sans Symbols" w:hAnsi="Noto Sans Symbols"/>
          <w:color w:val="0070c0"/>
          <w:sz w:val="32"/>
          <w:szCs w:val="32"/>
          <w:rtl w:val="1"/>
        </w:rPr>
        <w:t xml:space="preserve"> 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لتفعيل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النقاشية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إصلاحي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أكاديمي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حزبي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حكومي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إنجازات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4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لمراقبة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والنقابات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والمستقلين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يدعمها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الإنجاز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توصياتها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والدقيقة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والحزبي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والنيابي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لينتهي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2020.</w:t>
      </w:r>
    </w:p>
    <w:sectPr>
      <w:footerReference r:id="rId7" w:type="default"/>
      <w:pgSz w:h="15840" w:w="12240"/>
      <w:pgMar w:bottom="851" w:top="851" w:left="1134" w:right="1134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implified Arabic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74" w:hanging="360"/>
      </w:pPr>
      <w:rPr>
        <w:rFonts w:ascii="Simplified Arabic" w:cs="Simplified Arabic" w:eastAsia="Simplified Arabic" w:hAnsi="Simplified Arabic"/>
        <w:sz w:val="26"/>
        <w:szCs w:val="26"/>
      </w:rPr>
    </w:lvl>
    <w:lvl w:ilvl="1">
      <w:start w:val="1"/>
      <w:numFmt w:val="lowerLetter"/>
      <w:lvlText w:val="%2."/>
      <w:lvlJc w:val="left"/>
      <w:pPr>
        <w:ind w:left="1894" w:hanging="360"/>
      </w:pPr>
      <w:rPr/>
    </w:lvl>
    <w:lvl w:ilvl="2">
      <w:start w:val="1"/>
      <w:numFmt w:val="lowerRoman"/>
      <w:lvlText w:val="%3."/>
      <w:lvlJc w:val="right"/>
      <w:pPr>
        <w:ind w:left="2614" w:hanging="180"/>
      </w:pPr>
      <w:rPr/>
    </w:lvl>
    <w:lvl w:ilvl="3">
      <w:start w:val="1"/>
      <w:numFmt w:val="decimal"/>
      <w:lvlText w:val="%4."/>
      <w:lvlJc w:val="left"/>
      <w:pPr>
        <w:ind w:left="3334" w:hanging="360"/>
      </w:pPr>
      <w:rPr/>
    </w:lvl>
    <w:lvl w:ilvl="4">
      <w:start w:val="1"/>
      <w:numFmt w:val="lowerLetter"/>
      <w:lvlText w:val="%5."/>
      <w:lvlJc w:val="left"/>
      <w:pPr>
        <w:ind w:left="4054" w:hanging="360"/>
      </w:pPr>
      <w:rPr/>
    </w:lvl>
    <w:lvl w:ilvl="5">
      <w:start w:val="1"/>
      <w:numFmt w:val="lowerRoman"/>
      <w:lvlText w:val="%6."/>
      <w:lvlJc w:val="right"/>
      <w:pPr>
        <w:ind w:left="4774" w:hanging="180"/>
      </w:pPr>
      <w:rPr/>
    </w:lvl>
    <w:lvl w:ilvl="6">
      <w:start w:val="1"/>
      <w:numFmt w:val="decimal"/>
      <w:lvlText w:val="%7."/>
      <w:lvlJc w:val="left"/>
      <w:pPr>
        <w:ind w:left="5494" w:hanging="360"/>
      </w:pPr>
      <w:rPr/>
    </w:lvl>
    <w:lvl w:ilvl="7">
      <w:start w:val="1"/>
      <w:numFmt w:val="lowerLetter"/>
      <w:lvlText w:val="%8."/>
      <w:lvlJc w:val="left"/>
      <w:pPr>
        <w:ind w:left="6214" w:hanging="360"/>
      </w:pPr>
      <w:rPr/>
    </w:lvl>
    <w:lvl w:ilvl="8">
      <w:start w:val="1"/>
      <w:numFmt w:val="lowerRoman"/>
      <w:lvlText w:val="%9."/>
      <w:lvlJc w:val="right"/>
      <w:pPr>
        <w:ind w:left="693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74" w:hanging="360"/>
      </w:pPr>
      <w:rPr>
        <w:rFonts w:ascii="Simplified Arabic" w:cs="Simplified Arabic" w:eastAsia="Simplified Arabic" w:hAnsi="Simplified Arabic"/>
      </w:rPr>
    </w:lvl>
    <w:lvl w:ilvl="1">
      <w:start w:val="1"/>
      <w:numFmt w:val="lowerLetter"/>
      <w:lvlText w:val="%2."/>
      <w:lvlJc w:val="left"/>
      <w:pPr>
        <w:ind w:left="1894" w:hanging="360"/>
      </w:pPr>
      <w:rPr/>
    </w:lvl>
    <w:lvl w:ilvl="2">
      <w:start w:val="1"/>
      <w:numFmt w:val="lowerRoman"/>
      <w:lvlText w:val="%3."/>
      <w:lvlJc w:val="right"/>
      <w:pPr>
        <w:ind w:left="2614" w:hanging="180"/>
      </w:pPr>
      <w:rPr/>
    </w:lvl>
    <w:lvl w:ilvl="3">
      <w:start w:val="1"/>
      <w:numFmt w:val="decimal"/>
      <w:lvlText w:val="%4."/>
      <w:lvlJc w:val="left"/>
      <w:pPr>
        <w:ind w:left="3334" w:hanging="360"/>
      </w:pPr>
      <w:rPr/>
    </w:lvl>
    <w:lvl w:ilvl="4">
      <w:start w:val="1"/>
      <w:numFmt w:val="lowerLetter"/>
      <w:lvlText w:val="%5."/>
      <w:lvlJc w:val="left"/>
      <w:pPr>
        <w:ind w:left="4054" w:hanging="360"/>
      </w:pPr>
      <w:rPr/>
    </w:lvl>
    <w:lvl w:ilvl="5">
      <w:start w:val="1"/>
      <w:numFmt w:val="lowerRoman"/>
      <w:lvlText w:val="%6."/>
      <w:lvlJc w:val="right"/>
      <w:pPr>
        <w:ind w:left="4774" w:hanging="180"/>
      </w:pPr>
      <w:rPr/>
    </w:lvl>
    <w:lvl w:ilvl="6">
      <w:start w:val="1"/>
      <w:numFmt w:val="decimal"/>
      <w:lvlText w:val="%7."/>
      <w:lvlJc w:val="left"/>
      <w:pPr>
        <w:ind w:left="5494" w:hanging="360"/>
      </w:pPr>
      <w:rPr/>
    </w:lvl>
    <w:lvl w:ilvl="7">
      <w:start w:val="1"/>
      <w:numFmt w:val="lowerLetter"/>
      <w:lvlText w:val="%8."/>
      <w:lvlJc w:val="left"/>
      <w:pPr>
        <w:ind w:left="6214" w:hanging="360"/>
      </w:pPr>
      <w:rPr/>
    </w:lvl>
    <w:lvl w:ilvl="8">
      <w:start w:val="1"/>
      <w:numFmt w:val="lowerRoman"/>
      <w:lvlText w:val="%9."/>
      <w:lvlJc w:val="right"/>
      <w:pPr>
        <w:ind w:left="693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174" w:hanging="360"/>
      </w:pPr>
      <w:rPr>
        <w:rFonts w:ascii="Simplified Arabic" w:cs="Simplified Arabic" w:eastAsia="Simplified Arabic" w:hAnsi="Simplified Arabic"/>
        <w:sz w:val="26"/>
        <w:szCs w:val="26"/>
      </w:rPr>
    </w:lvl>
    <w:lvl w:ilvl="1">
      <w:start w:val="1"/>
      <w:numFmt w:val="lowerLetter"/>
      <w:lvlText w:val="%2."/>
      <w:lvlJc w:val="left"/>
      <w:pPr>
        <w:ind w:left="1894" w:hanging="360"/>
      </w:pPr>
      <w:rPr/>
    </w:lvl>
    <w:lvl w:ilvl="2">
      <w:start w:val="1"/>
      <w:numFmt w:val="lowerRoman"/>
      <w:lvlText w:val="%3."/>
      <w:lvlJc w:val="right"/>
      <w:pPr>
        <w:ind w:left="2614" w:hanging="180"/>
      </w:pPr>
      <w:rPr/>
    </w:lvl>
    <w:lvl w:ilvl="3">
      <w:start w:val="1"/>
      <w:numFmt w:val="decimal"/>
      <w:lvlText w:val="%4."/>
      <w:lvlJc w:val="left"/>
      <w:pPr>
        <w:ind w:left="3334" w:hanging="360"/>
      </w:pPr>
      <w:rPr/>
    </w:lvl>
    <w:lvl w:ilvl="4">
      <w:start w:val="1"/>
      <w:numFmt w:val="lowerLetter"/>
      <w:lvlText w:val="%5."/>
      <w:lvlJc w:val="left"/>
      <w:pPr>
        <w:ind w:left="4054" w:hanging="360"/>
      </w:pPr>
      <w:rPr/>
    </w:lvl>
    <w:lvl w:ilvl="5">
      <w:start w:val="1"/>
      <w:numFmt w:val="lowerRoman"/>
      <w:lvlText w:val="%6."/>
      <w:lvlJc w:val="right"/>
      <w:pPr>
        <w:ind w:left="4774" w:hanging="180"/>
      </w:pPr>
      <w:rPr/>
    </w:lvl>
    <w:lvl w:ilvl="6">
      <w:start w:val="1"/>
      <w:numFmt w:val="decimal"/>
      <w:lvlText w:val="%7."/>
      <w:lvlJc w:val="left"/>
      <w:pPr>
        <w:ind w:left="5494" w:hanging="360"/>
      </w:pPr>
      <w:rPr/>
    </w:lvl>
    <w:lvl w:ilvl="7">
      <w:start w:val="1"/>
      <w:numFmt w:val="lowerLetter"/>
      <w:lvlText w:val="%8."/>
      <w:lvlJc w:val="left"/>
      <w:pPr>
        <w:ind w:left="6214" w:hanging="360"/>
      </w:pPr>
      <w:rPr/>
    </w:lvl>
    <w:lvl w:ilvl="8">
      <w:start w:val="1"/>
      <w:numFmt w:val="lowerRoman"/>
      <w:lvlText w:val="%9."/>
      <w:lvlJc w:val="right"/>
      <w:pPr>
        <w:ind w:left="693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174" w:hanging="360"/>
      </w:pPr>
      <w:rPr>
        <w:rFonts w:ascii="Simplified Arabic" w:cs="Simplified Arabic" w:eastAsia="Simplified Arabic" w:hAnsi="Simplified Arabic"/>
        <w:sz w:val="26"/>
        <w:szCs w:val="26"/>
      </w:rPr>
    </w:lvl>
    <w:lvl w:ilvl="1">
      <w:start w:val="1"/>
      <w:numFmt w:val="lowerLetter"/>
      <w:lvlText w:val="%2."/>
      <w:lvlJc w:val="left"/>
      <w:pPr>
        <w:ind w:left="1894" w:hanging="360"/>
      </w:pPr>
      <w:rPr/>
    </w:lvl>
    <w:lvl w:ilvl="2">
      <w:start w:val="1"/>
      <w:numFmt w:val="lowerRoman"/>
      <w:lvlText w:val="%3."/>
      <w:lvlJc w:val="right"/>
      <w:pPr>
        <w:ind w:left="2614" w:hanging="180"/>
      </w:pPr>
      <w:rPr/>
    </w:lvl>
    <w:lvl w:ilvl="3">
      <w:start w:val="1"/>
      <w:numFmt w:val="decimal"/>
      <w:lvlText w:val="%4."/>
      <w:lvlJc w:val="left"/>
      <w:pPr>
        <w:ind w:left="3334" w:hanging="360"/>
      </w:pPr>
      <w:rPr/>
    </w:lvl>
    <w:lvl w:ilvl="4">
      <w:start w:val="1"/>
      <w:numFmt w:val="lowerLetter"/>
      <w:lvlText w:val="%5."/>
      <w:lvlJc w:val="left"/>
      <w:pPr>
        <w:ind w:left="4054" w:hanging="360"/>
      </w:pPr>
      <w:rPr/>
    </w:lvl>
    <w:lvl w:ilvl="5">
      <w:start w:val="1"/>
      <w:numFmt w:val="lowerRoman"/>
      <w:lvlText w:val="%6."/>
      <w:lvlJc w:val="right"/>
      <w:pPr>
        <w:ind w:left="4774" w:hanging="180"/>
      </w:pPr>
      <w:rPr/>
    </w:lvl>
    <w:lvl w:ilvl="6">
      <w:start w:val="1"/>
      <w:numFmt w:val="decimal"/>
      <w:lvlText w:val="%7."/>
      <w:lvlJc w:val="left"/>
      <w:pPr>
        <w:ind w:left="5494" w:hanging="360"/>
      </w:pPr>
      <w:rPr/>
    </w:lvl>
    <w:lvl w:ilvl="7">
      <w:start w:val="1"/>
      <w:numFmt w:val="lowerLetter"/>
      <w:lvlText w:val="%8."/>
      <w:lvlJc w:val="left"/>
      <w:pPr>
        <w:ind w:left="6214" w:hanging="360"/>
      </w:pPr>
      <w:rPr/>
    </w:lvl>
    <w:lvl w:ilvl="8">
      <w:start w:val="1"/>
      <w:numFmt w:val="lowerRoman"/>
      <w:lvlText w:val="%9."/>
      <w:lvlJc w:val="right"/>
      <w:pPr>
        <w:ind w:left="6934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894" w:hanging="360"/>
      </w:pPr>
      <w:rPr/>
    </w:lvl>
    <w:lvl w:ilvl="1">
      <w:start w:val="1"/>
      <w:numFmt w:val="bullet"/>
      <w:lvlText w:val="o"/>
      <w:lvlJc w:val="left"/>
      <w:pPr>
        <w:ind w:left="26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5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bidi w:val="1"/>
      <w:spacing w:after="0" w:before="240" w:line="240" w:lineRule="auto"/>
      <w:ind w:left="720"/>
      <w:jc w:val="both"/>
    </w:pPr>
    <w:rPr>
      <w:rFonts w:ascii="Noto Sans Symbols" w:cs="Noto Sans Symbols" w:eastAsia="Noto Sans Symbols" w:hAnsi="Noto Sans Symbols"/>
      <w:sz w:val="44"/>
      <w:szCs w:val="4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bidi w:val="1"/>
      <w:spacing w:after="0" w:before="240" w:line="240" w:lineRule="auto"/>
      <w:jc w:val="center"/>
    </w:pPr>
    <w:rPr>
      <w:rFonts w:ascii="Open Sans" w:cs="Open Sans" w:eastAsia="Open Sans" w:hAnsi="Open Sans"/>
      <w:sz w:val="44"/>
      <w:szCs w:val="4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